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66" w:type="dxa"/>
        <w:tblInd w:w="-34" w:type="dxa"/>
        <w:tblLayout w:type="fixed"/>
        <w:tblLook w:val="04A0" w:firstRow="1" w:lastRow="0" w:firstColumn="1" w:lastColumn="0" w:noHBand="0" w:noVBand="1"/>
      </w:tblPr>
      <w:tblGrid>
        <w:gridCol w:w="10666"/>
      </w:tblGrid>
      <w:tr w:rsidR="002B2DDF" w:rsidTr="00382C84">
        <w:tc>
          <w:tcPr>
            <w:tcW w:w="10666" w:type="dxa"/>
          </w:tcPr>
          <w:p w:rsidR="002B2DDF" w:rsidRDefault="00FF5161">
            <w:pPr>
              <w:jc w:val="center"/>
              <w:rPr>
                <w:rFonts w:ascii="PT Astra Serif" w:hAnsi="PT Astra Serif"/>
                <w:sz w:val="20"/>
              </w:rPr>
            </w:pPr>
            <w:r>
              <w:rPr>
                <w:rFonts w:ascii="PT Astra Serif" w:hAnsi="PT Astra Serif"/>
                <w:b/>
              </w:rPr>
              <w:t>ИНФОРМАЦИОННОЕ СООБЩЕНИЕ</w:t>
            </w:r>
          </w:p>
          <w:p w:rsidR="002B2DDF" w:rsidRDefault="002B2DDF">
            <w:pPr>
              <w:spacing w:line="12" w:lineRule="exact"/>
              <w:rPr>
                <w:rFonts w:ascii="PT Astra Serif" w:hAnsi="PT Astra Serif"/>
              </w:rPr>
            </w:pPr>
          </w:p>
          <w:p w:rsidR="002B2DDF" w:rsidRDefault="00FF5161">
            <w:pPr>
              <w:tabs>
                <w:tab w:val="left" w:pos="3270"/>
              </w:tabs>
              <w:jc w:val="center"/>
              <w:rPr>
                <w:rFonts w:ascii="PT Astra Serif" w:hAnsi="PT Astra Serif"/>
                <w:b/>
                <w:sz w:val="23"/>
              </w:rPr>
            </w:pPr>
            <w:r>
              <w:rPr>
                <w:rFonts w:ascii="PT Astra Serif" w:hAnsi="PT Astra Serif"/>
                <w:b/>
                <w:sz w:val="23"/>
              </w:rPr>
              <w:t xml:space="preserve">о проведении продажи муниципального имущества, </w:t>
            </w:r>
          </w:p>
          <w:p w:rsidR="002B2DDF" w:rsidRDefault="00FF5161">
            <w:pPr>
              <w:tabs>
                <w:tab w:val="left" w:pos="3270"/>
              </w:tabs>
              <w:jc w:val="center"/>
              <w:rPr>
                <w:b/>
              </w:rPr>
            </w:pPr>
            <w:r>
              <w:rPr>
                <w:rFonts w:ascii="PT Astra Serif" w:hAnsi="PT Astra Serif"/>
                <w:b/>
                <w:sz w:val="23"/>
              </w:rPr>
              <w:t xml:space="preserve">находящегося в </w:t>
            </w:r>
            <w:r>
              <w:rPr>
                <w:b/>
              </w:rPr>
              <w:t>собственности муниципального образования Красноармейский район</w:t>
            </w:r>
          </w:p>
          <w:p w:rsidR="002B2DDF" w:rsidRDefault="00FF5161">
            <w:pPr>
              <w:tabs>
                <w:tab w:val="left" w:pos="1047"/>
              </w:tabs>
              <w:spacing w:line="252" w:lineRule="auto"/>
              <w:ind w:left="864" w:right="680"/>
              <w:jc w:val="center"/>
              <w:rPr>
                <w:rFonts w:ascii="PT Astra Serif" w:hAnsi="PT Astra Serif"/>
                <w:b/>
                <w:sz w:val="23"/>
              </w:rPr>
            </w:pPr>
            <w:r>
              <w:rPr>
                <w:rFonts w:ascii="PT Astra Serif" w:hAnsi="PT Astra Serif"/>
                <w:b/>
                <w:sz w:val="23"/>
              </w:rPr>
              <w:t xml:space="preserve">посредством публичного предложения в электронной форме </w:t>
            </w:r>
          </w:p>
          <w:p w:rsidR="002B2DDF" w:rsidRDefault="002B2DDF">
            <w:pPr>
              <w:tabs>
                <w:tab w:val="left" w:pos="3270"/>
              </w:tabs>
              <w:jc w:val="center"/>
              <w:rPr>
                <w:b/>
              </w:rPr>
            </w:pPr>
          </w:p>
          <w:p w:rsidR="002B2DDF" w:rsidRDefault="00FF5161">
            <w:pPr>
              <w:ind w:left="120" w:right="-178"/>
              <w:jc w:val="both"/>
              <w:rPr>
                <w:rFonts w:ascii="PT Astra Serif" w:hAnsi="PT Astra Serif"/>
                <w:sz w:val="20"/>
              </w:rPr>
            </w:pPr>
            <w:r>
              <w:rPr>
                <w:rFonts w:ascii="PT Astra Serif" w:hAnsi="PT Astra Serif"/>
                <w:color w:val="C00000"/>
                <w:u w:val="single"/>
              </w:rPr>
              <w:t>Внимание!</w:t>
            </w:r>
            <w:r>
              <w:rPr>
                <w:rFonts w:ascii="PT Astra Serif" w:hAnsi="PT Astra Serif"/>
                <w:color w:val="C00000"/>
              </w:rPr>
              <w:t xml:space="preserve"> </w:t>
            </w:r>
            <w:r>
              <w:rPr>
                <w:rFonts w:ascii="PT Astra Serif" w:hAnsi="PT Astra Serif"/>
              </w:rPr>
              <w:t>Данное информационное сообщение является публичной офертой для заключения</w:t>
            </w:r>
            <w:r>
              <w:rPr>
                <w:rFonts w:ascii="PT Astra Serif" w:hAnsi="PT Astra Serif"/>
                <w:color w:val="C00000"/>
              </w:rPr>
              <w:t xml:space="preserve"> </w:t>
            </w:r>
            <w:r>
              <w:rPr>
                <w:rFonts w:ascii="PT Astra Serif" w:hAnsi="PT Astra Serif"/>
              </w:rPr>
              <w:t>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2B2DDF" w:rsidRDefault="002B2DDF">
            <w:pPr>
              <w:pStyle w:val="af5"/>
              <w:ind w:firstLine="708"/>
              <w:jc w:val="both"/>
              <w:rPr>
                <w:rFonts w:ascii="Times New Roman" w:hAnsi="Times New Roman"/>
                <w:sz w:val="24"/>
              </w:rPr>
            </w:pPr>
          </w:p>
          <w:p w:rsidR="002B2DDF" w:rsidRDefault="00FF5161">
            <w:pPr>
              <w:pStyle w:val="af5"/>
              <w:ind w:right="63" w:firstLine="708"/>
              <w:jc w:val="both"/>
              <w:rPr>
                <w:rFonts w:ascii="Times New Roman" w:hAnsi="Times New Roman"/>
                <w:sz w:val="24"/>
              </w:rPr>
            </w:pPr>
            <w:r>
              <w:rPr>
                <w:rFonts w:ascii="Times New Roman" w:hAnsi="Times New Roman"/>
                <w:sz w:val="24"/>
              </w:rPr>
              <w:t>Управление муниципальной собственностью администрации муниципального образования Красноармейский район (далее - Продавец)</w:t>
            </w:r>
            <w:r>
              <w:t xml:space="preserve"> </w:t>
            </w:r>
            <w:r>
              <w:rPr>
                <w:rFonts w:ascii="Times New Roman" w:hAnsi="Times New Roman"/>
                <w:sz w:val="24"/>
              </w:rPr>
              <w:t>действующее в соответствии с Федеральным Законом Российской Федерации от 21.12.2001 г. № 178-ФЗ «О приватизации государственного и муниципального имущества», постановлением Правительства Российской Федерации от 27.08.2012 № 860 «Об организации и проведении продажи государственного или муниципального имущества в электронной форме», регламентом электронной площадки «Сбербанк-АСТ» (</w:t>
            </w:r>
            <w:hyperlink r:id="rId5" w:history="1">
              <w:r>
                <w:rPr>
                  <w:rStyle w:val="af2"/>
                  <w:rFonts w:ascii="Times New Roman" w:hAnsi="Times New Roman"/>
                  <w:sz w:val="24"/>
                </w:rPr>
                <w:t>http://utp.sberbank-ast.ru/AP/Notice/1027/Instructions</w:t>
              </w:r>
            </w:hyperlink>
            <w:r>
              <w:rPr>
                <w:rFonts w:ascii="Times New Roman" w:hAnsi="Times New Roman"/>
                <w:sz w:val="24"/>
              </w:rPr>
              <w:t>), программой приватизации объектов недвижимости, находящихся в муниципальной собственности муниципального образования Красноармейский район на 202</w:t>
            </w:r>
            <w:r w:rsidR="00D72DF4">
              <w:rPr>
                <w:rFonts w:ascii="Times New Roman" w:hAnsi="Times New Roman"/>
                <w:sz w:val="24"/>
              </w:rPr>
              <w:t>5</w:t>
            </w:r>
            <w:r>
              <w:rPr>
                <w:rFonts w:ascii="Times New Roman" w:hAnsi="Times New Roman"/>
                <w:sz w:val="24"/>
              </w:rPr>
              <w:t xml:space="preserve"> год</w:t>
            </w:r>
            <w:r>
              <w:rPr>
                <w:rFonts w:ascii="Times New Roman" w:hAnsi="Times New Roman"/>
                <w:spacing w:val="-1"/>
                <w:sz w:val="24"/>
              </w:rPr>
              <w:t>, утвержден</w:t>
            </w:r>
            <w:r>
              <w:rPr>
                <w:rFonts w:ascii="Times New Roman" w:hAnsi="Times New Roman"/>
                <w:sz w:val="24"/>
              </w:rPr>
              <w:t xml:space="preserve">ным  решением  Совета  муниципального  образования Красноармейский район </w:t>
            </w:r>
            <w:r>
              <w:rPr>
                <w:rFonts w:ascii="Times New Roman" w:hAnsi="Times New Roman"/>
                <w:spacing w:val="-1"/>
                <w:sz w:val="24"/>
              </w:rPr>
              <w:t xml:space="preserve">от </w:t>
            </w:r>
            <w:r w:rsidR="00D72DF4">
              <w:rPr>
                <w:rFonts w:ascii="Times New Roman" w:hAnsi="Times New Roman"/>
                <w:spacing w:val="-1"/>
                <w:sz w:val="24"/>
              </w:rPr>
              <w:t xml:space="preserve">                       11</w:t>
            </w:r>
            <w:r>
              <w:rPr>
                <w:rFonts w:ascii="Times New Roman" w:hAnsi="Times New Roman"/>
                <w:spacing w:val="-1"/>
                <w:sz w:val="24"/>
              </w:rPr>
              <w:t xml:space="preserve"> декабря 202</w:t>
            </w:r>
            <w:r w:rsidR="00D72DF4">
              <w:rPr>
                <w:rFonts w:ascii="Times New Roman" w:hAnsi="Times New Roman"/>
                <w:spacing w:val="-1"/>
                <w:sz w:val="24"/>
              </w:rPr>
              <w:t>4</w:t>
            </w:r>
            <w:r>
              <w:rPr>
                <w:rFonts w:ascii="Times New Roman" w:hAnsi="Times New Roman"/>
                <w:spacing w:val="-1"/>
                <w:sz w:val="24"/>
              </w:rPr>
              <w:t xml:space="preserve"> года № </w:t>
            </w:r>
            <w:r w:rsidR="00D72DF4">
              <w:rPr>
                <w:rFonts w:ascii="Times New Roman" w:hAnsi="Times New Roman"/>
                <w:spacing w:val="-1"/>
                <w:sz w:val="24"/>
              </w:rPr>
              <w:t>70/1</w:t>
            </w:r>
            <w:r>
              <w:rPr>
                <w:rFonts w:ascii="Times New Roman" w:hAnsi="Times New Roman"/>
                <w:spacing w:val="-1"/>
                <w:sz w:val="24"/>
              </w:rPr>
              <w:t>,  положением «О порядке управления и распоря</w:t>
            </w:r>
            <w:r>
              <w:rPr>
                <w:rFonts w:ascii="Times New Roman" w:hAnsi="Times New Roman"/>
                <w:sz w:val="24"/>
              </w:rPr>
              <w:t xml:space="preserve">жения имуществом, находящимся в муниципальной собственности муниципального образования Красноармейский район», утвержденным решением Совета муниципального образования Красноармейский район от </w:t>
            </w:r>
            <w:r w:rsidR="00D72DF4">
              <w:rPr>
                <w:rFonts w:ascii="Times New Roman" w:hAnsi="Times New Roman"/>
                <w:sz w:val="24"/>
              </w:rPr>
              <w:t xml:space="preserve"> </w:t>
            </w:r>
            <w:r>
              <w:rPr>
                <w:rFonts w:ascii="Times New Roman" w:hAnsi="Times New Roman"/>
                <w:sz w:val="24"/>
              </w:rPr>
              <w:t xml:space="preserve">22 марта 2017 года № 27/2, постановлением администрации муниципального образования Красноармейский район от </w:t>
            </w:r>
            <w:r w:rsidR="00D72DF4">
              <w:rPr>
                <w:rFonts w:ascii="Times New Roman" w:hAnsi="Times New Roman"/>
                <w:sz w:val="24"/>
              </w:rPr>
              <w:t>10.02.2025</w:t>
            </w:r>
            <w:r>
              <w:rPr>
                <w:rFonts w:ascii="Times New Roman" w:hAnsi="Times New Roman"/>
                <w:sz w:val="24"/>
              </w:rPr>
              <w:t xml:space="preserve"> г. № </w:t>
            </w:r>
            <w:r w:rsidR="00D72DF4">
              <w:rPr>
                <w:rFonts w:ascii="Times New Roman" w:hAnsi="Times New Roman"/>
                <w:sz w:val="24"/>
              </w:rPr>
              <w:t>241</w:t>
            </w:r>
            <w:r w:rsidR="00382C84">
              <w:rPr>
                <w:rFonts w:ascii="Times New Roman" w:hAnsi="Times New Roman"/>
                <w:sz w:val="24"/>
              </w:rPr>
              <w:t xml:space="preserve"> </w:t>
            </w:r>
            <w:r>
              <w:rPr>
                <w:rFonts w:ascii="Times New Roman" w:hAnsi="Times New Roman"/>
                <w:sz w:val="24"/>
              </w:rPr>
              <w:t>«О приватизации муниципального имущества» сообщает о продаже имущества, находящегося в собственности муниципального образования Красноармейский район, посредством публичного предложения в электронной форме.</w:t>
            </w:r>
          </w:p>
          <w:p w:rsidR="002B2DDF" w:rsidRDefault="00FF5161">
            <w:pPr>
              <w:ind w:firstLine="567"/>
              <w:jc w:val="both"/>
              <w:rPr>
                <w:u w:val="single"/>
              </w:rPr>
            </w:pPr>
            <w:r>
              <w:t xml:space="preserve">Настоящее информационное сообщение размещается на официальном сайте Российской Федерации </w:t>
            </w:r>
            <w:hyperlink r:id="rId6" w:history="1">
              <w:r>
                <w:rPr>
                  <w:u w:val="single"/>
                </w:rPr>
                <w:t>www.torgi.gov.ru</w:t>
              </w:r>
            </w:hyperlink>
            <w:r>
              <w:t xml:space="preserve">,  на официальном сайте администрации муниципального образования Красноармейский  район  – </w:t>
            </w:r>
            <w:hyperlink r:id="rId7" w:history="1">
              <w:r>
                <w:rPr>
                  <w:rStyle w:val="af2"/>
                </w:rPr>
                <w:t>www.krasnarm.ru</w:t>
              </w:r>
            </w:hyperlink>
            <w:r>
              <w:rPr>
                <w:u w:val="single"/>
              </w:rPr>
              <w:t xml:space="preserve">, и электронной площадке </w:t>
            </w:r>
            <w:r>
              <w:t>http://utp.sberbank-ast.ru.</w:t>
            </w:r>
          </w:p>
          <w:p w:rsidR="002B2DDF" w:rsidRDefault="00FF5161">
            <w:pPr>
              <w:pStyle w:val="a8"/>
              <w:widowControl w:val="0"/>
              <w:tabs>
                <w:tab w:val="left" w:pos="709"/>
                <w:tab w:val="left" w:pos="3600"/>
              </w:tabs>
              <w:spacing w:before="0" w:after="0"/>
              <w:ind w:left="0" w:right="0" w:firstLine="567"/>
              <w:jc w:val="both"/>
              <w:rPr>
                <w:rFonts w:ascii="Times New Roman" w:hAnsi="Times New Roman"/>
                <w:sz w:val="24"/>
              </w:rPr>
            </w:pPr>
            <w:r>
              <w:rPr>
                <w:rFonts w:ascii="Times New Roman" w:hAnsi="Times New Roman"/>
                <w:b/>
                <w:sz w:val="24"/>
              </w:rPr>
              <w:t xml:space="preserve">Оператор электронной площадки: </w:t>
            </w:r>
            <w:r>
              <w:rPr>
                <w:rFonts w:ascii="Times New Roman" w:hAnsi="Times New Roman"/>
                <w:sz w:val="24"/>
              </w:rPr>
              <w:t xml:space="preserve">АО «Сбербанк-АСТ», владеющее сайтом </w:t>
            </w:r>
            <w:r>
              <w:rPr>
                <w:rFonts w:ascii="Times New Roman" w:hAnsi="Times New Roman"/>
                <w:sz w:val="24"/>
                <w:u w:val="single"/>
              </w:rPr>
              <w:t>http://utp.sberbank-ast.ru/AP</w:t>
            </w:r>
            <w:r>
              <w:rPr>
                <w:rFonts w:ascii="Times New Roman" w:hAnsi="Times New Roman"/>
                <w:sz w:val="24"/>
              </w:rPr>
              <w:t xml:space="preserve"> в информационно-телекоммуникационной сети «Интернет».</w:t>
            </w:r>
          </w:p>
          <w:p w:rsidR="002B2DDF" w:rsidRDefault="00FF5161" w:rsidP="00D72DF4">
            <w:pPr>
              <w:ind w:left="34" w:firstLine="567"/>
              <w:jc w:val="both"/>
            </w:pPr>
            <w:r>
              <w:rPr>
                <w:b/>
              </w:rPr>
              <w:t xml:space="preserve">Наименование имущества – </w:t>
            </w:r>
            <w:r w:rsidR="00D72DF4" w:rsidRPr="00DB56D6">
              <w:t>помещения №1-43, 53-65, назначение: нежилое, с кадастровым номером 23:13:0201003:399, общей площадью 1071,8 кв. м, расположенные на земельном участке, с кадастровым номером 23:13:0201003:395, общей площадью 4714 кв. м, находящихся по адресу: Российская Федерация, Краснодарски</w:t>
            </w:r>
            <w:r w:rsidR="00D72DF4">
              <w:t>й край, Красноармейский район,</w:t>
            </w:r>
            <w:r w:rsidR="00D72DF4" w:rsidRPr="00DB56D6">
              <w:t xml:space="preserve"> станица Чебургольская, улица Советская, 112/3</w:t>
            </w:r>
            <w:r>
              <w:t>.</w:t>
            </w:r>
          </w:p>
          <w:p w:rsidR="002B2DDF" w:rsidRDefault="00FF5161">
            <w:pPr>
              <w:widowControl w:val="0"/>
              <w:tabs>
                <w:tab w:val="left" w:pos="1032"/>
              </w:tabs>
              <w:ind w:left="709"/>
              <w:jc w:val="both"/>
              <w:rPr>
                <w:spacing w:val="-11"/>
              </w:rPr>
            </w:pPr>
            <w:r>
              <w:t xml:space="preserve">Начальная цена предмета аукциона – </w:t>
            </w:r>
            <w:r>
              <w:rPr>
                <w:spacing w:val="-3"/>
              </w:rPr>
              <w:t xml:space="preserve">составляет </w:t>
            </w:r>
            <w:r w:rsidR="00D72DF4">
              <w:rPr>
                <w:spacing w:val="-3"/>
              </w:rPr>
              <w:t>5 104 656</w:t>
            </w:r>
            <w:r w:rsidR="00D72DF4">
              <w:rPr>
                <w:spacing w:val="-1"/>
              </w:rPr>
              <w:t xml:space="preserve"> рублей 00 копеек, без учета </w:t>
            </w:r>
            <w:r>
              <w:rPr>
                <w:spacing w:val="-1"/>
              </w:rPr>
              <w:t>НДС.</w:t>
            </w:r>
          </w:p>
          <w:p w:rsidR="002B2DDF" w:rsidRDefault="00FF5161">
            <w:pPr>
              <w:tabs>
                <w:tab w:val="left" w:pos="1032"/>
              </w:tabs>
              <w:ind w:firstLine="709"/>
              <w:jc w:val="both"/>
            </w:pPr>
            <w:r>
              <w:t xml:space="preserve">Минимальная цена предложения, по которой может быть осуществлена продажа имущества, указанного в пункте 1 настоящего постановления (цена отсечения) в размере 50 % начальной цены несостоявшихся аукционов: </w:t>
            </w:r>
            <w:r w:rsidR="00D72DF4">
              <w:t>2 552 328</w:t>
            </w:r>
            <w:r>
              <w:t xml:space="preserve"> рублей 00 копеек.</w:t>
            </w:r>
          </w:p>
          <w:p w:rsidR="002B2DDF" w:rsidRDefault="00FF5161">
            <w:pPr>
              <w:tabs>
                <w:tab w:val="left" w:pos="1032"/>
              </w:tabs>
              <w:ind w:firstLine="709"/>
              <w:jc w:val="both"/>
            </w:pPr>
            <w:r>
              <w:t xml:space="preserve">Величина снижения цены первоначального предложения («шаг понижения»): </w:t>
            </w:r>
            <w:r w:rsidR="00D72DF4">
              <w:t>510 465 рублей         6</w:t>
            </w:r>
            <w:r>
              <w:t>0 копеек.</w:t>
            </w:r>
          </w:p>
          <w:p w:rsidR="002B2DDF" w:rsidRDefault="00FF5161">
            <w:pPr>
              <w:tabs>
                <w:tab w:val="left" w:pos="1032"/>
              </w:tabs>
              <w:ind w:firstLine="709"/>
              <w:jc w:val="both"/>
            </w:pPr>
            <w:r>
              <w:t xml:space="preserve">Величина повышения цены («шаг аукциона»): </w:t>
            </w:r>
            <w:r w:rsidR="00D72DF4">
              <w:t>255 232</w:t>
            </w:r>
            <w:r>
              <w:t xml:space="preserve"> рублей </w:t>
            </w:r>
            <w:r w:rsidR="00D72DF4">
              <w:t>8</w:t>
            </w:r>
            <w:r>
              <w:t xml:space="preserve">0 копеек. </w:t>
            </w:r>
          </w:p>
          <w:p w:rsidR="002B2DDF" w:rsidRDefault="00FF5161">
            <w:pPr>
              <w:tabs>
                <w:tab w:val="left" w:pos="1032"/>
              </w:tabs>
              <w:ind w:firstLine="709"/>
              <w:jc w:val="both"/>
              <w:rPr>
                <w:spacing w:val="-11"/>
              </w:rPr>
            </w:pPr>
            <w:r>
              <w:rPr>
                <w:spacing w:val="-1"/>
              </w:rPr>
              <w:t xml:space="preserve">Размер задатка для участия в аукционе 10 % от </w:t>
            </w:r>
            <w:r>
              <w:t xml:space="preserve">начальной стоимости имущества, что составляет </w:t>
            </w:r>
            <w:r w:rsidR="00D72DF4">
              <w:t xml:space="preserve">510 465 </w:t>
            </w:r>
            <w:r>
              <w:t xml:space="preserve">рублей </w:t>
            </w:r>
            <w:r w:rsidR="00D72DF4">
              <w:t>6</w:t>
            </w:r>
            <w:r>
              <w:t>0 копеек.</w:t>
            </w:r>
          </w:p>
          <w:p w:rsidR="002B2DDF" w:rsidRDefault="00FF5161">
            <w:pPr>
              <w:widowControl w:val="0"/>
              <w:ind w:firstLine="567"/>
              <w:jc w:val="both"/>
              <w:rPr>
                <w:rFonts w:ascii="PT Astra Serif" w:hAnsi="PT Astra Serif"/>
              </w:rPr>
            </w:pPr>
            <w:r>
              <w:rPr>
                <w:b/>
              </w:rPr>
              <w:t xml:space="preserve">Способ приватизации имущества - </w:t>
            </w:r>
            <w:r>
              <w:t>продажа муниципального имущества посредством</w:t>
            </w:r>
            <w:r>
              <w:rPr>
                <w:rFonts w:ascii="PT Astra Serif" w:hAnsi="PT Astra Serif"/>
              </w:rPr>
              <w:t xml:space="preserve"> публичного предложения.</w:t>
            </w:r>
          </w:p>
          <w:p w:rsidR="002B2DDF" w:rsidRDefault="00FF5161">
            <w:pPr>
              <w:widowControl w:val="0"/>
              <w:ind w:firstLine="567"/>
              <w:jc w:val="both"/>
            </w:pPr>
            <w:r>
              <w:rPr>
                <w:rFonts w:ascii="PT Astra Serif" w:hAnsi="PT Astra Serif"/>
                <w:b/>
              </w:rPr>
              <w:t>Форма подачи предложений о приобретении имущества – открытая.</w:t>
            </w:r>
          </w:p>
          <w:p w:rsidR="002B2DDF" w:rsidRDefault="00FF5161">
            <w:pPr>
              <w:widowControl w:val="0"/>
              <w:ind w:firstLine="567"/>
              <w:jc w:val="both"/>
            </w:pPr>
            <w:r>
              <w:t>Подача предложений о цене проводится в день и время, указанные в извещении о проведении торгов на электронной площадке – универсальная торговая платформа АО «Сбербанк-АСТ», размещенная на сайте http://utp.sberbank-ast.ru в сети Интернет.</w:t>
            </w:r>
          </w:p>
          <w:p w:rsidR="002B2DDF" w:rsidRDefault="00FF5161">
            <w:pPr>
              <w:rPr>
                <w:rFonts w:ascii="TimesNewRoman,Bold" w:hAnsi="TimesNewRoman,Bold"/>
                <w:b/>
              </w:rPr>
            </w:pPr>
            <w:r>
              <w:rPr>
                <w:rFonts w:ascii="TimesNewRoman,Bold" w:hAnsi="TimesNewRoman,Bold"/>
                <w:b/>
              </w:rPr>
              <w:t>Место, сроки подачи (приема) заявок, определения участников и проведения Аукциона.</w:t>
            </w:r>
          </w:p>
          <w:p w:rsidR="002B2DDF" w:rsidRDefault="00FF5161">
            <w:pPr>
              <w:widowControl w:val="0"/>
              <w:ind w:firstLine="567"/>
              <w:jc w:val="both"/>
            </w:pPr>
            <w:r>
              <w:rPr>
                <w:rFonts w:ascii="TimesNewRoman,Bold" w:hAnsi="TimesNewRoman,Bold"/>
              </w:rPr>
              <w:t xml:space="preserve">Место подачи (приема) Заявок: </w:t>
            </w:r>
            <w:r>
              <w:rPr>
                <w:rFonts w:ascii="TimesNewRoman" w:hAnsi="TimesNewRoman"/>
              </w:rPr>
              <w:t xml:space="preserve">электронная площадка: </w:t>
            </w:r>
            <w:r>
              <w:t>универсальная торговая платформа АО «Сбербанк-АСТ», размещенная на сайте http://utp.sberbank-ast.ru в сети Интернет.</w:t>
            </w:r>
          </w:p>
          <w:p w:rsidR="002B2DDF" w:rsidRDefault="00FF5161">
            <w:pPr>
              <w:ind w:firstLine="567"/>
              <w:jc w:val="both"/>
            </w:pPr>
            <w:r>
              <w:t>Указанное в настоящем информационном сообщении время – московское.</w:t>
            </w:r>
          </w:p>
          <w:p w:rsidR="002B2DDF" w:rsidRDefault="00FF5161">
            <w:pPr>
              <w:ind w:firstLine="567"/>
              <w:jc w:val="both"/>
            </w:pPr>
            <w:r>
              <w:t>При исчислении сроков, указанных в настоящем информационном сообщении, принимается время сервера электронной торговой площадки – московское.</w:t>
            </w:r>
          </w:p>
          <w:p w:rsidR="002B2DDF" w:rsidRDefault="00FF5161">
            <w:pPr>
              <w:widowControl w:val="0"/>
              <w:ind w:firstLine="567"/>
              <w:jc w:val="both"/>
              <w:rPr>
                <w:u w:val="single"/>
              </w:rPr>
            </w:pPr>
            <w:r>
              <w:rPr>
                <w:u w:val="single"/>
              </w:rPr>
              <w:lastRenderedPageBreak/>
              <w:t xml:space="preserve">Дата начала приема заявок на участие в продаже – с 08.00 час </w:t>
            </w:r>
            <w:r w:rsidR="00A249D1">
              <w:rPr>
                <w:u w:val="single"/>
              </w:rPr>
              <w:t>13</w:t>
            </w:r>
            <w:r w:rsidR="00502AFB">
              <w:rPr>
                <w:u w:val="single"/>
              </w:rPr>
              <w:t>.02.2025</w:t>
            </w:r>
            <w:r>
              <w:rPr>
                <w:u w:val="single"/>
              </w:rPr>
              <w:t xml:space="preserve"> г.</w:t>
            </w:r>
          </w:p>
          <w:p w:rsidR="002B2DDF" w:rsidRDefault="00FF5161">
            <w:pPr>
              <w:widowControl w:val="0"/>
              <w:ind w:firstLine="567"/>
              <w:jc w:val="both"/>
              <w:rPr>
                <w:u w:val="single"/>
              </w:rPr>
            </w:pPr>
            <w:r>
              <w:rPr>
                <w:u w:val="single"/>
              </w:rPr>
              <w:t xml:space="preserve">Дата окончания приема заявок на участие в продаже – в </w:t>
            </w:r>
            <w:r w:rsidR="00080D8F">
              <w:rPr>
                <w:u w:val="single"/>
              </w:rPr>
              <w:t>23</w:t>
            </w:r>
            <w:r>
              <w:rPr>
                <w:u w:val="single"/>
              </w:rPr>
              <w:t xml:space="preserve">.00 час. </w:t>
            </w:r>
            <w:r w:rsidR="00A249D1">
              <w:rPr>
                <w:u w:val="single"/>
              </w:rPr>
              <w:t>13</w:t>
            </w:r>
            <w:r w:rsidR="00502AFB">
              <w:rPr>
                <w:u w:val="single"/>
              </w:rPr>
              <w:t>.03</w:t>
            </w:r>
            <w:r w:rsidR="00080D8F">
              <w:rPr>
                <w:u w:val="single"/>
              </w:rPr>
              <w:t>.2025</w:t>
            </w:r>
            <w:r>
              <w:rPr>
                <w:u w:val="single"/>
              </w:rPr>
              <w:t>г.</w:t>
            </w:r>
          </w:p>
          <w:p w:rsidR="002B2DDF" w:rsidRDefault="00FF5161">
            <w:pPr>
              <w:widowControl w:val="0"/>
              <w:ind w:firstLine="567"/>
              <w:jc w:val="both"/>
              <w:rPr>
                <w:u w:val="single"/>
              </w:rPr>
            </w:pPr>
            <w:r>
              <w:rPr>
                <w:u w:val="single"/>
              </w:rPr>
              <w:t xml:space="preserve">Дата определения участников – </w:t>
            </w:r>
            <w:r w:rsidR="00502AFB">
              <w:rPr>
                <w:u w:val="single"/>
              </w:rPr>
              <w:t>1</w:t>
            </w:r>
            <w:r w:rsidR="00A249D1">
              <w:rPr>
                <w:u w:val="single"/>
              </w:rPr>
              <w:t>4</w:t>
            </w:r>
            <w:r w:rsidR="00502AFB">
              <w:rPr>
                <w:u w:val="single"/>
              </w:rPr>
              <w:t>.03</w:t>
            </w:r>
            <w:r w:rsidR="00080D8F">
              <w:rPr>
                <w:u w:val="single"/>
              </w:rPr>
              <w:t>.2025</w:t>
            </w:r>
            <w:r w:rsidR="00502AFB">
              <w:rPr>
                <w:u w:val="single"/>
              </w:rPr>
              <w:t xml:space="preserve"> г. в 10,0</w:t>
            </w:r>
            <w:r>
              <w:rPr>
                <w:u w:val="single"/>
              </w:rPr>
              <w:t>0 час.</w:t>
            </w:r>
          </w:p>
          <w:p w:rsidR="002B2DDF" w:rsidRDefault="00FF5161">
            <w:pPr>
              <w:widowControl w:val="0"/>
              <w:ind w:firstLine="567"/>
              <w:jc w:val="both"/>
              <w:rPr>
                <w:u w:val="single"/>
              </w:rPr>
            </w:pPr>
            <w:r>
              <w:rPr>
                <w:highlight w:val="white"/>
              </w:rPr>
              <w:t>Продажа посредством публичного предложения</w:t>
            </w:r>
            <w:r>
              <w:rPr>
                <w:sz w:val="20"/>
                <w:u w:val="single"/>
              </w:rPr>
              <w:t xml:space="preserve"> </w:t>
            </w:r>
            <w:r>
              <w:rPr>
                <w:u w:val="single"/>
              </w:rPr>
              <w:t>состоится (дата и время начала приема предложений от участников продажи) -</w:t>
            </w:r>
            <w:r w:rsidR="00A249D1">
              <w:rPr>
                <w:u w:val="single"/>
              </w:rPr>
              <w:t>17</w:t>
            </w:r>
            <w:r w:rsidR="00502AFB">
              <w:rPr>
                <w:u w:val="single"/>
              </w:rPr>
              <w:t>.03</w:t>
            </w:r>
            <w:r w:rsidR="00080D8F">
              <w:rPr>
                <w:u w:val="single"/>
              </w:rPr>
              <w:t>.2025</w:t>
            </w:r>
            <w:r>
              <w:rPr>
                <w:u w:val="single"/>
              </w:rPr>
              <w:t xml:space="preserve"> г. в 10.00 час.</w:t>
            </w:r>
          </w:p>
          <w:p w:rsidR="002B2DDF" w:rsidRDefault="00FF5161">
            <w:pPr>
              <w:widowControl w:val="0"/>
              <w:ind w:firstLine="567"/>
              <w:jc w:val="both"/>
              <w:rPr>
                <w:u w:val="single"/>
              </w:rPr>
            </w:pPr>
            <w:r>
              <w:rPr>
                <w:u w:val="single"/>
              </w:rPr>
              <w:t>Место и срок подведения итогов продажи: электронная площадка – универсальная торгов</w:t>
            </w:r>
            <w:r w:rsidR="00080D8F">
              <w:rPr>
                <w:u w:val="single"/>
              </w:rPr>
              <w:t>ая платформа АО «Сбербанк-АСТ»</w:t>
            </w:r>
            <w:r>
              <w:rPr>
                <w:u w:val="single"/>
              </w:rPr>
              <w:t>.</w:t>
            </w:r>
          </w:p>
          <w:p w:rsidR="002B2DDF" w:rsidRDefault="00FF5161">
            <w:pPr>
              <w:widowControl w:val="0"/>
              <w:ind w:firstLine="567"/>
              <w:jc w:val="both"/>
            </w:pPr>
            <w:r>
              <w:rPr>
                <w:b/>
                <w:u w:val="single"/>
              </w:rPr>
              <w:t>Место проведения электронного аукциона:</w:t>
            </w:r>
            <w:r>
              <w:t xml:space="preserve"> электронная площадка – универсальная торговая платформа АО «Сбербанк-АСТ», размещенная на сайте http://utp.sberbank-ast.ru в сети Интернет (торговая секция «Приватизация, аренда и продажа прав»).</w:t>
            </w:r>
          </w:p>
          <w:p w:rsidR="002B2DDF" w:rsidRDefault="00FF5161">
            <w:pPr>
              <w:pStyle w:val="25"/>
              <w:ind w:firstLine="0"/>
              <w:rPr>
                <w:b/>
                <w:sz w:val="24"/>
              </w:rPr>
            </w:pPr>
            <w:r>
              <w:rPr>
                <w:b/>
                <w:sz w:val="24"/>
              </w:rPr>
              <w:t>Порядок регистрации на электронной площадке и подачи заявки на участие в аукционе в электронной форме.</w:t>
            </w:r>
          </w:p>
          <w:p w:rsidR="002B2DDF" w:rsidRDefault="00FF5161">
            <w:pPr>
              <w:pStyle w:val="25"/>
              <w:ind w:firstLine="567"/>
              <w:rPr>
                <w:sz w:val="24"/>
              </w:rPr>
            </w:pPr>
            <w:r>
              <w:rPr>
                <w:sz w:val="24"/>
              </w:rPr>
              <w:t>Для обеспечения доступа к участию в электронном аукционе Претендентам необходимо пройти процедуру регистрации на электронной площадке.</w:t>
            </w:r>
          </w:p>
          <w:p w:rsidR="002B2DDF" w:rsidRDefault="00FF5161">
            <w:pPr>
              <w:pStyle w:val="25"/>
              <w:ind w:firstLine="567"/>
              <w:rPr>
                <w:sz w:val="24"/>
              </w:rPr>
            </w:pPr>
            <w:r>
              <w:rPr>
                <w:sz w:val="24"/>
              </w:rPr>
              <w:t>Регистрация на электронной площадке проводится в соответствии с Регламентом электронной площадки.</w:t>
            </w:r>
          </w:p>
          <w:p w:rsidR="002B2DDF" w:rsidRDefault="00FF5161">
            <w:pPr>
              <w:pStyle w:val="25"/>
              <w:ind w:firstLine="567"/>
              <w:rPr>
                <w:sz w:val="24"/>
              </w:rPr>
            </w:pPr>
            <w:r>
              <w:rPr>
                <w:sz w:val="24"/>
              </w:rPr>
              <w:t>Подача заявки на участие осуществляется только посредством интерфейса универсальной торговой платформы АО «Сбербанк-АСТ» торговой секции «Приватизация, аренда и продажа прав» из личного кабинета претендента (образец заявки приведен в приложении 1, 2 к настоящему информационному сообщению).</w:t>
            </w:r>
          </w:p>
          <w:p w:rsidR="002B2DDF" w:rsidRDefault="00FF5161">
            <w:pPr>
              <w:pStyle w:val="25"/>
              <w:ind w:firstLine="567"/>
              <w:rPr>
                <w:sz w:val="24"/>
              </w:rPr>
            </w:pPr>
            <w:r>
              <w:rPr>
                <w:sz w:val="24"/>
              </w:rPr>
              <w:t xml:space="preserve"> Инструкция для участника торгов по работе в торговой секции «Приватизация, аренда и продажа прав» универсальной торговой платформы АО «Сбербанк-АСТ» размещена по адресу: </w:t>
            </w:r>
            <w:r>
              <w:rPr>
                <w:sz w:val="24"/>
                <w:u w:val="single"/>
              </w:rPr>
              <w:t>http://utp.sberbank-ast.ru/AP/Notice/652/Instructions</w:t>
            </w:r>
          </w:p>
          <w:p w:rsidR="002B2DDF" w:rsidRDefault="00FF5161">
            <w:pPr>
              <w:pStyle w:val="25"/>
              <w:ind w:firstLine="567"/>
              <w:rPr>
                <w:sz w:val="24"/>
              </w:rPr>
            </w:pPr>
            <w:r>
              <w:rPr>
                <w:sz w:val="24"/>
              </w:rPr>
              <w:t xml:space="preserve">После заполнения формы подачи заявки заявку необходимо подписать электронной подписью. Получить сертификаты электронной подписи можно в Авторизованных удостоверяющих центрах.  Заявка подается путем заполнения ее электронной формы, размещенной в открытой для доступа неограниченного круга лиц части электронной площадки с приложением электронных образов необходимых документов </w:t>
            </w:r>
            <w:r>
              <w:rPr>
                <w:b/>
                <w:sz w:val="24"/>
              </w:rPr>
              <w:t xml:space="preserve">(заявка на участие в электронном аукционе и приложения к ней на бумажном носителе, преобразованные в электронно-цифровую форму путем сканирования с сохранением их реквизитов), заверенных электронной подписью </w:t>
            </w:r>
            <w:r>
              <w:rPr>
                <w:sz w:val="24"/>
              </w:rPr>
              <w:t>претендента либо лица, имеющего право действовать от имени претендента.</w:t>
            </w:r>
          </w:p>
          <w:p w:rsidR="002B2DDF" w:rsidRDefault="00FF5161">
            <w:pPr>
              <w:ind w:firstLine="567"/>
              <w:jc w:val="both"/>
              <w:rPr>
                <w:b/>
              </w:rPr>
            </w:pPr>
            <w:r>
              <w:rPr>
                <w:b/>
                <w:i/>
              </w:rPr>
              <w:t>физические лица</w:t>
            </w:r>
            <w:r>
              <w:rPr>
                <w:b/>
              </w:rPr>
              <w:t>:</w:t>
            </w:r>
          </w:p>
          <w:p w:rsidR="002B2DDF" w:rsidRDefault="00FF5161">
            <w:pPr>
              <w:ind w:firstLine="567"/>
              <w:jc w:val="both"/>
            </w:pPr>
            <w:r>
              <w:t>- копию всех листов документа, удостоверяющего личность;</w:t>
            </w:r>
          </w:p>
          <w:p w:rsidR="002B2DDF" w:rsidRDefault="00FF5161">
            <w:pPr>
              <w:ind w:firstLine="567"/>
              <w:jc w:val="both"/>
              <w:rPr>
                <w:b/>
                <w:i/>
              </w:rPr>
            </w:pPr>
            <w:r>
              <w:rPr>
                <w:b/>
                <w:i/>
              </w:rPr>
              <w:t>юридические лица:</w:t>
            </w:r>
          </w:p>
          <w:p w:rsidR="002B2DDF" w:rsidRDefault="00FF5161">
            <w:pPr>
              <w:ind w:firstLine="567"/>
              <w:jc w:val="both"/>
            </w:pPr>
            <w:r>
              <w:rPr>
                <w:i/>
              </w:rPr>
              <w:t>-</w:t>
            </w:r>
            <w:r>
              <w:t xml:space="preserve"> заверенные копии учредительных документов; </w:t>
            </w:r>
          </w:p>
          <w:p w:rsidR="002B2DDF" w:rsidRDefault="00FF5161">
            <w:pPr>
              <w:ind w:firstLine="540"/>
              <w:jc w:val="both"/>
            </w:pPr>
            <w: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2B2DDF" w:rsidRDefault="00FF5161">
            <w:pPr>
              <w:ind w:firstLine="540"/>
              <w:jc w:val="both"/>
              <w:outlineLvl w:val="1"/>
            </w:pPr>
            <w: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2B2DDF" w:rsidRDefault="00FF5161">
            <w:pPr>
              <w:ind w:firstLine="540"/>
              <w:jc w:val="both"/>
              <w:outlineLvl w:val="1"/>
            </w:pPr>
            <w:r>
              <w:t xml:space="preserve">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w:t>
            </w:r>
            <w:hyperlink r:id="rId8" w:history="1">
              <w:r>
                <w:t>порядке</w:t>
              </w:r>
            </w:hyperlink>
            <w:r>
              <w:t>,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2B2DDF" w:rsidRDefault="00FF5161">
            <w:pPr>
              <w:ind w:firstLine="567"/>
              <w:jc w:val="both"/>
            </w:pPr>
            <w:r>
              <w:t xml:space="preserve">Все листы документов, представляемых одновременно с заявкой, должны быть пронумерованы. К данным документам прилагается опись. </w:t>
            </w:r>
          </w:p>
          <w:p w:rsidR="002B2DDF" w:rsidRDefault="00FF5161">
            <w:pPr>
              <w:pStyle w:val="23"/>
              <w:spacing w:after="0" w:line="240" w:lineRule="auto"/>
              <w:ind w:firstLine="567"/>
              <w:jc w:val="both"/>
              <w:rPr>
                <w:rFonts w:ascii="TimesNewRoman" w:hAnsi="TimesNewRoman"/>
              </w:rPr>
            </w:pPr>
            <w:r>
              <w:rPr>
                <w:rFonts w:ascii="TimesNewRoman" w:hAnsi="TimesNewRoman"/>
              </w:rPr>
              <w:t>Все подаваемые Претендентом документы не должны иметь неоговоренных исправлений. Все исправления должны быть надлежащим образом заверены. Печати и подписи, а также реквизиты и текст оригиналов и копий документов должны быть четкими и читаемыми. Подписи на оригиналах и копиях документов должны быть расшифрованы (указывается должность, фамилия и инициалы подписавшегося лица).</w:t>
            </w:r>
          </w:p>
          <w:p w:rsidR="002B2DDF" w:rsidRDefault="00FF5161">
            <w:pPr>
              <w:ind w:firstLine="567"/>
              <w:jc w:val="both"/>
            </w:pPr>
            <w:r>
              <w:t>Одно лицо имеет право подать только одну заявку на объект приватизации.</w:t>
            </w:r>
          </w:p>
          <w:p w:rsidR="002B2DDF" w:rsidRDefault="00FF5161">
            <w:pPr>
              <w:ind w:firstLine="567"/>
              <w:jc w:val="both"/>
            </w:pPr>
            <w:r>
              <w:lastRenderedPageBreak/>
              <w:t>Заявки подаются на электронную площадку, начиная с даты начала приема заявок до времени и даты окончания приема заявок, указанных в информационном сообщении.</w:t>
            </w:r>
          </w:p>
          <w:p w:rsidR="002B2DDF" w:rsidRDefault="00FF5161">
            <w:pPr>
              <w:tabs>
                <w:tab w:val="left" w:pos="540"/>
              </w:tabs>
              <w:ind w:firstLine="567"/>
              <w:jc w:val="both"/>
              <w:outlineLvl w:val="0"/>
            </w:pPr>
            <w:r>
              <w:t>Заявки с прилагаемыми к ним документами, поданные с нарушением установленного срока, а также заявки с незаполненными полями, на электронной площадке не регистрируются программными средствами.</w:t>
            </w:r>
          </w:p>
          <w:p w:rsidR="002B2DDF" w:rsidRDefault="00FF5161">
            <w:pPr>
              <w:tabs>
                <w:tab w:val="left" w:pos="540"/>
              </w:tabs>
              <w:ind w:firstLine="567"/>
              <w:jc w:val="both"/>
              <w:outlineLvl w:val="0"/>
            </w:pPr>
            <w:r>
              <w:t xml:space="preserve">При приеме заявок от Претендентов Оператор электронной площадки обеспечивает конфиденциальность данных о Претендентах и участниках. </w:t>
            </w:r>
          </w:p>
          <w:p w:rsidR="002B2DDF" w:rsidRDefault="00FF5161">
            <w:pPr>
              <w:tabs>
                <w:tab w:val="left" w:pos="540"/>
              </w:tabs>
              <w:ind w:firstLine="567"/>
              <w:jc w:val="both"/>
              <w:outlineLvl w:val="0"/>
            </w:pPr>
            <w:r>
              <w:t xml:space="preserve">В течение одного часа со времени поступления заявки Оператор электронной площадки сообщает Претенденту о ее поступлении путем направления уведомления с приложением электронных копий </w:t>
            </w:r>
          </w:p>
          <w:p w:rsidR="002B2DDF" w:rsidRDefault="00FF5161">
            <w:pPr>
              <w:tabs>
                <w:tab w:val="left" w:pos="540"/>
              </w:tabs>
              <w:jc w:val="both"/>
              <w:outlineLvl w:val="0"/>
            </w:pPr>
            <w:r>
              <w:t>зарегистрированной заявки и прилагаемых к ней документов.</w:t>
            </w:r>
          </w:p>
          <w:p w:rsidR="002B2DDF" w:rsidRDefault="00FF5161">
            <w:pPr>
              <w:tabs>
                <w:tab w:val="left" w:pos="540"/>
              </w:tabs>
              <w:ind w:firstLine="567"/>
              <w:jc w:val="both"/>
              <w:outlineLvl w:val="0"/>
            </w:pPr>
            <w:r>
              <w:t>Претендент вправе не позднее дня окончания приема заявок отозвать заявку путем направления уведомления об отзыве заявки на электронную площадку.</w:t>
            </w:r>
          </w:p>
          <w:p w:rsidR="002B2DDF" w:rsidRDefault="00FF5161">
            <w:pPr>
              <w:tabs>
                <w:tab w:val="left" w:pos="540"/>
              </w:tabs>
              <w:ind w:firstLine="567"/>
              <w:jc w:val="both"/>
              <w:outlineLvl w:val="0"/>
            </w:pPr>
            <w:r>
              <w:t>Изменение заявки допускается только путем подачи Претендентом новой заявки в установленные в информационном сообщении сроки о проведении аукциона, при этом первоначальная заявка должна быть отозвана.</w:t>
            </w:r>
          </w:p>
          <w:p w:rsidR="002B2DDF" w:rsidRDefault="00FF5161">
            <w:pPr>
              <w:tabs>
                <w:tab w:val="left" w:pos="540"/>
              </w:tabs>
              <w:ind w:firstLine="567"/>
              <w:jc w:val="both"/>
              <w:outlineLvl w:val="0"/>
            </w:pPr>
            <w:r>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p w:rsidR="002B2DDF" w:rsidRDefault="00FF5161">
            <w:pPr>
              <w:pStyle w:val="ConsNormal"/>
              <w:ind w:right="0" w:firstLine="567"/>
              <w:jc w:val="both"/>
              <w:rPr>
                <w:rFonts w:ascii="Times New Roman" w:hAnsi="Times New Roman"/>
                <w:b/>
                <w:sz w:val="24"/>
              </w:rPr>
            </w:pPr>
            <w:r>
              <w:rPr>
                <w:rFonts w:ascii="Times New Roman" w:hAnsi="Times New Roman"/>
                <w:b/>
                <w:sz w:val="24"/>
                <w:highlight w:val="yellow"/>
              </w:rPr>
              <w:t>Претендент не допускается к участию по следующим основаниям:</w:t>
            </w:r>
          </w:p>
          <w:p w:rsidR="002B2DDF" w:rsidRDefault="00FF5161">
            <w:pPr>
              <w:pStyle w:val="ConsNormal"/>
              <w:ind w:right="0" w:firstLine="567"/>
              <w:jc w:val="both"/>
              <w:rPr>
                <w:rFonts w:ascii="Times New Roman" w:hAnsi="Times New Roman"/>
                <w:sz w:val="24"/>
              </w:rPr>
            </w:pPr>
            <w:r>
              <w:rPr>
                <w:rFonts w:ascii="Times New Roman" w:hAnsi="Times New Roman"/>
                <w:sz w:val="24"/>
              </w:rPr>
              <w:t xml:space="preserve">- представленные документы не подтверждают право претендента быть покупателем в соответствии с </w:t>
            </w:r>
            <w:hyperlink r:id="rId9" w:history="1">
              <w:r>
                <w:rPr>
                  <w:rFonts w:ascii="Times New Roman" w:hAnsi="Times New Roman"/>
                  <w:sz w:val="24"/>
                </w:rPr>
                <w:t>законодательством</w:t>
              </w:r>
            </w:hyperlink>
            <w:r>
              <w:rPr>
                <w:rFonts w:ascii="Times New Roman" w:hAnsi="Times New Roman"/>
                <w:sz w:val="24"/>
              </w:rPr>
              <w:t xml:space="preserve"> Российской Федерации;</w:t>
            </w:r>
          </w:p>
          <w:p w:rsidR="002B2DDF" w:rsidRDefault="00FF5161">
            <w:pPr>
              <w:pStyle w:val="ConsNormal"/>
              <w:ind w:right="0" w:firstLine="567"/>
              <w:jc w:val="both"/>
              <w:rPr>
                <w:rFonts w:ascii="Times New Roman" w:hAnsi="Times New Roman"/>
                <w:sz w:val="24"/>
              </w:rPr>
            </w:pPr>
            <w:r>
              <w:rPr>
                <w:rFonts w:ascii="Times New Roman" w:hAnsi="Times New Roman"/>
                <w:sz w:val="24"/>
              </w:rPr>
              <w:t>- представлены не все документы в соответствии с перечнем, указанным в информационном сообщении (за исключением предложений о цене муниципального имущества на аукционе), или оформление указанных документов не соответствует законодательству Российской Федерации;</w:t>
            </w:r>
          </w:p>
          <w:p w:rsidR="002B2DDF" w:rsidRDefault="00FF5161">
            <w:pPr>
              <w:pStyle w:val="ConsNormal"/>
              <w:ind w:right="0" w:firstLine="567"/>
              <w:jc w:val="both"/>
              <w:rPr>
                <w:rFonts w:ascii="Times New Roman" w:hAnsi="Times New Roman"/>
                <w:sz w:val="24"/>
              </w:rPr>
            </w:pPr>
            <w:r>
              <w:rPr>
                <w:rFonts w:ascii="Times New Roman" w:hAnsi="Times New Roman"/>
                <w:sz w:val="24"/>
              </w:rPr>
              <w:t>- заявка подана лицом, не уполномоченным претендентом на осуществление таких действий;</w:t>
            </w:r>
          </w:p>
          <w:p w:rsidR="002B2DDF" w:rsidRDefault="00FF5161">
            <w:pPr>
              <w:pStyle w:val="ConsNormal"/>
              <w:ind w:right="0" w:firstLine="567"/>
              <w:jc w:val="both"/>
              <w:rPr>
                <w:rFonts w:ascii="Times New Roman" w:hAnsi="Times New Roman"/>
                <w:sz w:val="24"/>
              </w:rPr>
            </w:pPr>
            <w:r>
              <w:rPr>
                <w:rFonts w:ascii="Times New Roman" w:hAnsi="Times New Roman"/>
                <w:sz w:val="24"/>
              </w:rPr>
              <w:t>- не подтверждено поступление в установленный срок задатка на счет Оператора, указанный в информационном сообщении.</w:t>
            </w:r>
          </w:p>
          <w:p w:rsidR="002B2DDF" w:rsidRDefault="00FF5161">
            <w:pPr>
              <w:pStyle w:val="ConsNormal"/>
              <w:ind w:right="0" w:firstLine="567"/>
              <w:jc w:val="both"/>
              <w:rPr>
                <w:rFonts w:ascii="Times New Roman" w:hAnsi="Times New Roman"/>
                <w:sz w:val="24"/>
              </w:rPr>
            </w:pPr>
            <w:r>
              <w:rPr>
                <w:rFonts w:ascii="Times New Roman" w:hAnsi="Times New Roman"/>
                <w:sz w:val="22"/>
              </w:rPr>
              <w:t>Перечень оснований отказа претенденту в участии в аукционе является исчерпывающим.</w:t>
            </w:r>
          </w:p>
          <w:p w:rsidR="002B2DDF" w:rsidRDefault="00FF5161">
            <w:pPr>
              <w:tabs>
                <w:tab w:val="left" w:pos="540"/>
              </w:tabs>
              <w:ind w:firstLine="567"/>
              <w:jc w:val="both"/>
              <w:outlineLvl w:val="0"/>
            </w:pPr>
            <w:r>
              <w:t>Продавец в день рассмотрения заявок и документов Претендентов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такого отказа.</w:t>
            </w:r>
          </w:p>
          <w:p w:rsidR="002B2DDF" w:rsidRDefault="00FF5161">
            <w:pPr>
              <w:tabs>
                <w:tab w:val="left" w:pos="0"/>
              </w:tabs>
              <w:ind w:firstLine="567"/>
              <w:jc w:val="both"/>
              <w:outlineLvl w:val="0"/>
            </w:pPr>
            <w:r>
              <w:t>Претендент приобретает статус участника аукциона с момента подписания протокола о признании Претендентов участниками аукциона.</w:t>
            </w:r>
          </w:p>
          <w:p w:rsidR="002B2DDF" w:rsidRDefault="00FF5161">
            <w:pPr>
              <w:tabs>
                <w:tab w:val="left" w:pos="0"/>
              </w:tabs>
              <w:ind w:firstLine="567"/>
              <w:jc w:val="both"/>
              <w:outlineLvl w:val="0"/>
            </w:pPr>
            <w:r>
              <w:t xml:space="preserve">Не позднее следующего рабочего дня после дня подписания протокола о признании Претендентов участниками всем Претендентам, подавшим заявки, направляется уведомление о признании их участниками аукциона или об отказе в признании участниками аукциона с указанием оснований отказа. </w:t>
            </w:r>
          </w:p>
          <w:p w:rsidR="002B2DDF" w:rsidRDefault="00FF5161">
            <w:pPr>
              <w:ind w:firstLine="567"/>
              <w:jc w:val="both"/>
              <w:rPr>
                <w:u w:val="single"/>
              </w:rPr>
            </w:pPr>
            <w:r>
              <w:t xml:space="preserve">Информация о Претендентах, не допущенных к участию в аукционе, размещается в открытой части электронной площадки, на официальном сайте Российской Федерации для размещения информации о проведении торгов </w:t>
            </w:r>
            <w:hyperlink r:id="rId10" w:history="1">
              <w:r>
                <w:t>www.torgi.gov.ru</w:t>
              </w:r>
            </w:hyperlink>
            <w:r>
              <w:t xml:space="preserve">, на официальном сайте администрации муниципального образования Красноармейский район </w:t>
            </w:r>
            <w:hyperlink r:id="rId11" w:history="1">
              <w:r>
                <w:rPr>
                  <w:rStyle w:val="af2"/>
                </w:rPr>
                <w:t>www.krasnarm.ru</w:t>
              </w:r>
            </w:hyperlink>
            <w:r>
              <w:t>.</w:t>
            </w:r>
          </w:p>
          <w:p w:rsidR="002B2DDF" w:rsidRDefault="00FF5161">
            <w:pPr>
              <w:pStyle w:val="Normal0"/>
              <w:widowControl w:val="0"/>
              <w:rPr>
                <w:b/>
                <w:sz w:val="24"/>
              </w:rPr>
            </w:pPr>
            <w:r>
              <w:rPr>
                <w:b/>
                <w:sz w:val="24"/>
              </w:rPr>
              <w:t>Срок и порядок внесения задатка, необходимые реквизиты счетов и порядок возврата задатка.</w:t>
            </w:r>
          </w:p>
          <w:p w:rsidR="002B2DDF" w:rsidRDefault="00FF5161">
            <w:pPr>
              <w:pStyle w:val="Normal0"/>
              <w:widowControl w:val="0"/>
              <w:ind w:firstLine="567"/>
              <w:jc w:val="both"/>
              <w:rPr>
                <w:sz w:val="24"/>
              </w:rPr>
            </w:pPr>
            <w:r>
              <w:rPr>
                <w:sz w:val="24"/>
              </w:rPr>
              <w:t>Для участия в аукционе претендент вносит задаток в размере 10 процентов начальной цены, указанной в информационном сообщении о продаже муниципального имущества.</w:t>
            </w:r>
          </w:p>
          <w:p w:rsidR="002B2DDF" w:rsidRDefault="00FF5161">
            <w:pPr>
              <w:pStyle w:val="Normal0"/>
              <w:widowControl w:val="0"/>
              <w:ind w:firstLine="567"/>
              <w:jc w:val="both"/>
              <w:rPr>
                <w:sz w:val="24"/>
              </w:rPr>
            </w:pPr>
            <w:r>
              <w:rPr>
                <w:sz w:val="24"/>
              </w:rPr>
              <w:t>Размер задатка указан в предмете аукциона.</w:t>
            </w:r>
          </w:p>
          <w:p w:rsidR="002B2DDF" w:rsidRDefault="00FF5161">
            <w:pPr>
              <w:pStyle w:val="Normal0"/>
              <w:widowControl w:val="0"/>
              <w:ind w:firstLine="567"/>
              <w:jc w:val="both"/>
              <w:rPr>
                <w:sz w:val="24"/>
              </w:rPr>
            </w:pPr>
            <w:r>
              <w:rPr>
                <w:sz w:val="24"/>
              </w:rPr>
              <w:t>Срок внесения задатка определяется в соответствии с регламентом оператора электронной площадки. Задаток перечисляется на счет оператора электронной площадки АО «Сбербанк-АСТ».</w:t>
            </w:r>
          </w:p>
          <w:p w:rsidR="002B2DDF" w:rsidRDefault="00FF5161">
            <w:pPr>
              <w:ind w:firstLine="567"/>
              <w:jc w:val="both"/>
              <w:outlineLvl w:val="0"/>
            </w:pPr>
            <w:r>
              <w:t xml:space="preserve">Задаток для участия в аукционе служит обеспечением в части заключения договора, а также в обеспечение исполнения обязательств, предусмотренных договором купли-продажи. </w:t>
            </w:r>
          </w:p>
          <w:p w:rsidR="002B2DDF" w:rsidRDefault="00FF5161">
            <w:pPr>
              <w:ind w:firstLine="567"/>
              <w:jc w:val="both"/>
              <w:outlineLvl w:val="0"/>
            </w:pPr>
            <w:r>
              <w:t>Оператор электронной площадки проверяет наличие достаточной суммы в размере задатка на лицевом счете Претендента и осуществляет блокирование необходимой суммы. Если денежных средств на лицевом счете Претендента недостаточно для произведения операции блокирования, то Претенденту для обеспечения своевременного поступления денежных средств необходимо учитывать, что поступившие в банк за предыдущий день платежи разносятся на лицевые счета в сроки, установленные Регламентом электронной площадки.</w:t>
            </w:r>
          </w:p>
          <w:p w:rsidR="002B2DDF" w:rsidRDefault="00FF5161">
            <w:pPr>
              <w:ind w:firstLine="567"/>
              <w:jc w:val="both"/>
              <w:outlineLvl w:val="0"/>
            </w:pPr>
            <w:r>
              <w:lastRenderedPageBreak/>
              <w:t xml:space="preserve">Банковские реквизиты счета для перечисления задатка: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3256"/>
              <w:gridCol w:w="6955"/>
            </w:tblGrid>
            <w:tr w:rsidR="002B2DDF">
              <w:trPr>
                <w:trHeight w:val="203"/>
              </w:trPr>
              <w:tc>
                <w:tcPr>
                  <w:tcW w:w="3256" w:type="dxa"/>
                  <w:tcBorders>
                    <w:top w:val="single" w:sz="4" w:space="0" w:color="000000"/>
                    <w:left w:val="single" w:sz="4" w:space="0" w:color="000000"/>
                    <w:bottom w:val="single" w:sz="4" w:space="0" w:color="000000"/>
                    <w:right w:val="single" w:sz="4" w:space="0" w:color="000000"/>
                  </w:tcBorders>
                  <w:tcMar>
                    <w:left w:w="0" w:type="dxa"/>
                    <w:right w:w="0" w:type="dxa"/>
                  </w:tcMar>
                </w:tcPr>
                <w:p w:rsidR="002B2DDF" w:rsidRDefault="00FF5161">
                  <w:pPr>
                    <w:pStyle w:val="3"/>
                    <w:ind w:firstLine="567"/>
                    <w:rPr>
                      <w:sz w:val="24"/>
                    </w:rPr>
                  </w:pPr>
                  <w:r>
                    <w:rPr>
                      <w:sz w:val="24"/>
                    </w:rPr>
                    <w:t>Получатель</w:t>
                  </w:r>
                </w:p>
              </w:tc>
              <w:tc>
                <w:tcPr>
                  <w:tcW w:w="6955" w:type="dxa"/>
                  <w:tcBorders>
                    <w:top w:val="single" w:sz="4" w:space="0" w:color="000000"/>
                    <w:left w:val="single" w:sz="4" w:space="0" w:color="000000"/>
                    <w:bottom w:val="single" w:sz="4" w:space="0" w:color="000000"/>
                    <w:right w:val="single" w:sz="4" w:space="0" w:color="000000"/>
                  </w:tcBorders>
                  <w:tcMar>
                    <w:left w:w="0" w:type="dxa"/>
                    <w:right w:w="0" w:type="dxa"/>
                  </w:tcMar>
                </w:tcPr>
                <w:p w:rsidR="002B2DDF" w:rsidRDefault="00FF5161">
                  <w:pPr>
                    <w:ind w:firstLine="567"/>
                  </w:pPr>
                  <w:r>
                    <w:t> </w:t>
                  </w:r>
                </w:p>
              </w:tc>
            </w:tr>
            <w:tr w:rsidR="002B2DDF">
              <w:tc>
                <w:tcPr>
                  <w:tcW w:w="3256" w:type="dxa"/>
                  <w:tcBorders>
                    <w:top w:val="single" w:sz="4" w:space="0" w:color="000000"/>
                    <w:left w:val="single" w:sz="4" w:space="0" w:color="000000"/>
                    <w:bottom w:val="single" w:sz="4" w:space="0" w:color="000000"/>
                    <w:right w:val="single" w:sz="4" w:space="0" w:color="000000"/>
                  </w:tcBorders>
                  <w:tcMar>
                    <w:left w:w="0" w:type="dxa"/>
                    <w:right w:w="0" w:type="dxa"/>
                  </w:tcMar>
                </w:tcPr>
                <w:p w:rsidR="002B2DDF" w:rsidRDefault="00FF5161">
                  <w:pPr>
                    <w:ind w:firstLine="567"/>
                  </w:pPr>
                  <w:r>
                    <w:t>Наименование</w:t>
                  </w:r>
                </w:p>
              </w:tc>
              <w:tc>
                <w:tcPr>
                  <w:tcW w:w="6955" w:type="dxa"/>
                  <w:tcBorders>
                    <w:top w:val="single" w:sz="4" w:space="0" w:color="000000"/>
                    <w:left w:val="single" w:sz="4" w:space="0" w:color="000000"/>
                    <w:bottom w:val="single" w:sz="4" w:space="0" w:color="000000"/>
                    <w:right w:val="single" w:sz="4" w:space="0" w:color="000000"/>
                  </w:tcBorders>
                  <w:tcMar>
                    <w:left w:w="0" w:type="dxa"/>
                    <w:right w:w="0" w:type="dxa"/>
                  </w:tcMar>
                </w:tcPr>
                <w:p w:rsidR="002B2DDF" w:rsidRDefault="00FF5161">
                  <w:pPr>
                    <w:ind w:firstLine="567"/>
                  </w:pPr>
                  <w:r>
                    <w:t>АО "Сбербанк-АСТ"</w:t>
                  </w:r>
                </w:p>
              </w:tc>
            </w:tr>
            <w:tr w:rsidR="002B2DDF">
              <w:tc>
                <w:tcPr>
                  <w:tcW w:w="3256" w:type="dxa"/>
                  <w:tcBorders>
                    <w:top w:val="single" w:sz="4" w:space="0" w:color="000000"/>
                    <w:left w:val="single" w:sz="4" w:space="0" w:color="000000"/>
                    <w:bottom w:val="single" w:sz="4" w:space="0" w:color="000000"/>
                    <w:right w:val="single" w:sz="4" w:space="0" w:color="000000"/>
                  </w:tcBorders>
                  <w:tcMar>
                    <w:left w:w="0" w:type="dxa"/>
                    <w:right w:w="0" w:type="dxa"/>
                  </w:tcMar>
                </w:tcPr>
                <w:p w:rsidR="002B2DDF" w:rsidRDefault="00FF5161">
                  <w:pPr>
                    <w:ind w:firstLine="567"/>
                  </w:pPr>
                  <w:r>
                    <w:t>ИНН:</w:t>
                  </w:r>
                </w:p>
              </w:tc>
              <w:tc>
                <w:tcPr>
                  <w:tcW w:w="6955" w:type="dxa"/>
                  <w:tcBorders>
                    <w:top w:val="single" w:sz="4" w:space="0" w:color="000000"/>
                    <w:left w:val="single" w:sz="4" w:space="0" w:color="000000"/>
                    <w:bottom w:val="single" w:sz="4" w:space="0" w:color="000000"/>
                    <w:right w:val="single" w:sz="4" w:space="0" w:color="000000"/>
                  </w:tcBorders>
                  <w:tcMar>
                    <w:left w:w="0" w:type="dxa"/>
                    <w:right w:w="0" w:type="dxa"/>
                  </w:tcMar>
                </w:tcPr>
                <w:p w:rsidR="002B2DDF" w:rsidRDefault="00FF5161">
                  <w:pPr>
                    <w:ind w:firstLine="567"/>
                  </w:pPr>
                  <w:r>
                    <w:t>7707308480</w:t>
                  </w:r>
                </w:p>
              </w:tc>
            </w:tr>
            <w:tr w:rsidR="002B2DDF">
              <w:tc>
                <w:tcPr>
                  <w:tcW w:w="3256" w:type="dxa"/>
                  <w:tcBorders>
                    <w:top w:val="single" w:sz="4" w:space="0" w:color="000000"/>
                    <w:left w:val="single" w:sz="4" w:space="0" w:color="000000"/>
                    <w:bottom w:val="single" w:sz="4" w:space="0" w:color="000000"/>
                    <w:right w:val="single" w:sz="4" w:space="0" w:color="000000"/>
                  </w:tcBorders>
                  <w:tcMar>
                    <w:left w:w="0" w:type="dxa"/>
                    <w:right w:w="0" w:type="dxa"/>
                  </w:tcMar>
                </w:tcPr>
                <w:p w:rsidR="002B2DDF" w:rsidRDefault="00FF5161">
                  <w:pPr>
                    <w:ind w:firstLine="567"/>
                  </w:pPr>
                  <w:r>
                    <w:t>КПП:</w:t>
                  </w:r>
                </w:p>
              </w:tc>
              <w:tc>
                <w:tcPr>
                  <w:tcW w:w="6955" w:type="dxa"/>
                  <w:tcBorders>
                    <w:top w:val="single" w:sz="4" w:space="0" w:color="000000"/>
                    <w:left w:val="single" w:sz="4" w:space="0" w:color="000000"/>
                    <w:bottom w:val="single" w:sz="4" w:space="0" w:color="000000"/>
                    <w:right w:val="single" w:sz="4" w:space="0" w:color="000000"/>
                  </w:tcBorders>
                  <w:tcMar>
                    <w:left w:w="0" w:type="dxa"/>
                    <w:right w:w="0" w:type="dxa"/>
                  </w:tcMar>
                </w:tcPr>
                <w:p w:rsidR="002B2DDF" w:rsidRDefault="00FF5161">
                  <w:pPr>
                    <w:ind w:firstLine="567"/>
                  </w:pPr>
                  <w:r>
                    <w:t>770401001</w:t>
                  </w:r>
                </w:p>
              </w:tc>
            </w:tr>
            <w:tr w:rsidR="002B2DDF">
              <w:tc>
                <w:tcPr>
                  <w:tcW w:w="3256" w:type="dxa"/>
                  <w:tcBorders>
                    <w:top w:val="single" w:sz="4" w:space="0" w:color="000000"/>
                    <w:left w:val="single" w:sz="4" w:space="0" w:color="000000"/>
                    <w:bottom w:val="single" w:sz="4" w:space="0" w:color="000000"/>
                    <w:right w:val="single" w:sz="4" w:space="0" w:color="000000"/>
                  </w:tcBorders>
                  <w:tcMar>
                    <w:left w:w="0" w:type="dxa"/>
                    <w:right w:w="0" w:type="dxa"/>
                  </w:tcMar>
                </w:tcPr>
                <w:p w:rsidR="002B2DDF" w:rsidRDefault="00FF5161">
                  <w:pPr>
                    <w:ind w:firstLine="567"/>
                  </w:pPr>
                  <w:r>
                    <w:t>Расчетный счет:</w:t>
                  </w:r>
                </w:p>
              </w:tc>
              <w:tc>
                <w:tcPr>
                  <w:tcW w:w="6955" w:type="dxa"/>
                  <w:tcBorders>
                    <w:top w:val="single" w:sz="4" w:space="0" w:color="000000"/>
                    <w:left w:val="single" w:sz="4" w:space="0" w:color="000000"/>
                    <w:bottom w:val="single" w:sz="4" w:space="0" w:color="000000"/>
                    <w:right w:val="single" w:sz="4" w:space="0" w:color="000000"/>
                  </w:tcBorders>
                  <w:tcMar>
                    <w:left w:w="0" w:type="dxa"/>
                    <w:right w:w="0" w:type="dxa"/>
                  </w:tcMar>
                </w:tcPr>
                <w:p w:rsidR="002B2DDF" w:rsidRDefault="00FF5161">
                  <w:pPr>
                    <w:ind w:firstLine="567"/>
                  </w:pPr>
                  <w:r>
                    <w:t>40702810300020038047</w:t>
                  </w:r>
                </w:p>
              </w:tc>
            </w:tr>
            <w:tr w:rsidR="002B2DDF">
              <w:trPr>
                <w:trHeight w:val="183"/>
              </w:trPr>
              <w:tc>
                <w:tcPr>
                  <w:tcW w:w="3256" w:type="dxa"/>
                  <w:tcBorders>
                    <w:top w:val="single" w:sz="4" w:space="0" w:color="000000"/>
                    <w:left w:val="single" w:sz="4" w:space="0" w:color="000000"/>
                    <w:bottom w:val="single" w:sz="4" w:space="0" w:color="000000"/>
                    <w:right w:val="single" w:sz="4" w:space="0" w:color="000000"/>
                  </w:tcBorders>
                  <w:tcMar>
                    <w:left w:w="0" w:type="dxa"/>
                    <w:right w:w="0" w:type="dxa"/>
                  </w:tcMar>
                </w:tcPr>
                <w:p w:rsidR="002B2DDF" w:rsidRDefault="00FF5161">
                  <w:pPr>
                    <w:pStyle w:val="3"/>
                    <w:ind w:firstLine="567"/>
                    <w:rPr>
                      <w:sz w:val="24"/>
                    </w:rPr>
                  </w:pPr>
                  <w:r>
                    <w:rPr>
                      <w:sz w:val="24"/>
                    </w:rPr>
                    <w:t>Банк получателя</w:t>
                  </w:r>
                </w:p>
              </w:tc>
              <w:tc>
                <w:tcPr>
                  <w:tcW w:w="6955" w:type="dxa"/>
                  <w:tcBorders>
                    <w:top w:val="single" w:sz="4" w:space="0" w:color="000000"/>
                    <w:left w:val="single" w:sz="4" w:space="0" w:color="000000"/>
                    <w:bottom w:val="single" w:sz="4" w:space="0" w:color="000000"/>
                    <w:right w:val="single" w:sz="4" w:space="0" w:color="000000"/>
                  </w:tcBorders>
                  <w:tcMar>
                    <w:left w:w="0" w:type="dxa"/>
                    <w:right w:w="0" w:type="dxa"/>
                  </w:tcMar>
                </w:tcPr>
                <w:p w:rsidR="002B2DDF" w:rsidRDefault="00FF5161">
                  <w:pPr>
                    <w:ind w:firstLine="567"/>
                  </w:pPr>
                  <w:r>
                    <w:t> </w:t>
                  </w:r>
                </w:p>
              </w:tc>
            </w:tr>
            <w:tr w:rsidR="002B2DDF">
              <w:tc>
                <w:tcPr>
                  <w:tcW w:w="3256" w:type="dxa"/>
                  <w:tcBorders>
                    <w:top w:val="single" w:sz="4" w:space="0" w:color="000000"/>
                    <w:left w:val="single" w:sz="4" w:space="0" w:color="000000"/>
                    <w:bottom w:val="single" w:sz="4" w:space="0" w:color="000000"/>
                    <w:right w:val="single" w:sz="4" w:space="0" w:color="000000"/>
                  </w:tcBorders>
                  <w:tcMar>
                    <w:left w:w="0" w:type="dxa"/>
                    <w:right w:w="0" w:type="dxa"/>
                  </w:tcMar>
                </w:tcPr>
                <w:p w:rsidR="002B2DDF" w:rsidRDefault="00FF5161">
                  <w:pPr>
                    <w:ind w:firstLine="567"/>
                  </w:pPr>
                  <w:r>
                    <w:t>Наименование банка:</w:t>
                  </w:r>
                </w:p>
              </w:tc>
              <w:tc>
                <w:tcPr>
                  <w:tcW w:w="6955" w:type="dxa"/>
                  <w:tcBorders>
                    <w:top w:val="single" w:sz="4" w:space="0" w:color="000000"/>
                    <w:left w:val="single" w:sz="4" w:space="0" w:color="000000"/>
                    <w:bottom w:val="single" w:sz="4" w:space="0" w:color="000000"/>
                    <w:right w:val="single" w:sz="4" w:space="0" w:color="000000"/>
                  </w:tcBorders>
                  <w:tcMar>
                    <w:left w:w="0" w:type="dxa"/>
                    <w:right w:w="0" w:type="dxa"/>
                  </w:tcMar>
                </w:tcPr>
                <w:p w:rsidR="002B2DDF" w:rsidRDefault="00FF5161">
                  <w:pPr>
                    <w:ind w:firstLine="567"/>
                  </w:pPr>
                  <w:r>
                    <w:t>ПАО"СБЕРБАНК РОССИИ" г. МОСКВА</w:t>
                  </w:r>
                </w:p>
              </w:tc>
            </w:tr>
            <w:tr w:rsidR="002B2DDF">
              <w:tc>
                <w:tcPr>
                  <w:tcW w:w="3256" w:type="dxa"/>
                  <w:tcBorders>
                    <w:top w:val="single" w:sz="4" w:space="0" w:color="000000"/>
                    <w:left w:val="single" w:sz="4" w:space="0" w:color="000000"/>
                    <w:bottom w:val="single" w:sz="4" w:space="0" w:color="000000"/>
                    <w:right w:val="single" w:sz="4" w:space="0" w:color="000000"/>
                  </w:tcBorders>
                  <w:tcMar>
                    <w:left w:w="0" w:type="dxa"/>
                    <w:right w:w="0" w:type="dxa"/>
                  </w:tcMar>
                </w:tcPr>
                <w:p w:rsidR="002B2DDF" w:rsidRDefault="00FF5161">
                  <w:pPr>
                    <w:ind w:firstLine="567"/>
                  </w:pPr>
                  <w:r>
                    <w:t>БИК:</w:t>
                  </w:r>
                </w:p>
              </w:tc>
              <w:tc>
                <w:tcPr>
                  <w:tcW w:w="6955" w:type="dxa"/>
                  <w:tcBorders>
                    <w:top w:val="single" w:sz="4" w:space="0" w:color="000000"/>
                    <w:left w:val="single" w:sz="4" w:space="0" w:color="000000"/>
                    <w:bottom w:val="single" w:sz="4" w:space="0" w:color="000000"/>
                    <w:right w:val="single" w:sz="4" w:space="0" w:color="000000"/>
                  </w:tcBorders>
                  <w:tcMar>
                    <w:left w:w="0" w:type="dxa"/>
                    <w:right w:w="0" w:type="dxa"/>
                  </w:tcMar>
                </w:tcPr>
                <w:p w:rsidR="002B2DDF" w:rsidRDefault="00FF5161">
                  <w:pPr>
                    <w:ind w:firstLine="567"/>
                  </w:pPr>
                  <w:r>
                    <w:t>044525225</w:t>
                  </w:r>
                </w:p>
              </w:tc>
            </w:tr>
            <w:tr w:rsidR="002B2DDF">
              <w:tc>
                <w:tcPr>
                  <w:tcW w:w="3256" w:type="dxa"/>
                  <w:tcBorders>
                    <w:top w:val="single" w:sz="4" w:space="0" w:color="000000"/>
                    <w:left w:val="single" w:sz="4" w:space="0" w:color="000000"/>
                    <w:bottom w:val="single" w:sz="4" w:space="0" w:color="000000"/>
                    <w:right w:val="single" w:sz="4" w:space="0" w:color="000000"/>
                  </w:tcBorders>
                  <w:tcMar>
                    <w:left w:w="0" w:type="dxa"/>
                    <w:right w:w="0" w:type="dxa"/>
                  </w:tcMar>
                </w:tcPr>
                <w:p w:rsidR="002B2DDF" w:rsidRDefault="00FF5161">
                  <w:pPr>
                    <w:ind w:firstLine="567"/>
                  </w:pPr>
                  <w:r>
                    <w:t>Корреспондентский счет:</w:t>
                  </w:r>
                </w:p>
              </w:tc>
              <w:tc>
                <w:tcPr>
                  <w:tcW w:w="6955" w:type="dxa"/>
                  <w:tcBorders>
                    <w:top w:val="single" w:sz="4" w:space="0" w:color="000000"/>
                    <w:left w:val="single" w:sz="4" w:space="0" w:color="000000"/>
                    <w:bottom w:val="single" w:sz="4" w:space="0" w:color="000000"/>
                    <w:right w:val="single" w:sz="4" w:space="0" w:color="000000"/>
                  </w:tcBorders>
                  <w:tcMar>
                    <w:left w:w="0" w:type="dxa"/>
                    <w:right w:w="0" w:type="dxa"/>
                  </w:tcMar>
                </w:tcPr>
                <w:p w:rsidR="002B2DDF" w:rsidRDefault="00FF5161">
                  <w:pPr>
                    <w:ind w:firstLine="567"/>
                  </w:pPr>
                  <w:r>
                    <w:t>30101810400000000225</w:t>
                  </w:r>
                </w:p>
              </w:tc>
            </w:tr>
          </w:tbl>
          <w:p w:rsidR="002B2DDF" w:rsidRDefault="00FF5161">
            <w:pPr>
              <w:pStyle w:val="Normal0"/>
              <w:widowControl w:val="0"/>
              <w:ind w:firstLine="567"/>
              <w:jc w:val="both"/>
              <w:rPr>
                <w:sz w:val="24"/>
              </w:rPr>
            </w:pPr>
            <w:r>
              <w:rPr>
                <w:sz w:val="24"/>
              </w:rPr>
              <w:t xml:space="preserve">В назначении платежа необходимо указание «перечисление денежных средств в качестве задатка (депозита) (ИНН плательщика)», а так </w:t>
            </w:r>
            <w:proofErr w:type="gramStart"/>
            <w:r>
              <w:rPr>
                <w:sz w:val="24"/>
              </w:rPr>
              <w:t>же  указывать</w:t>
            </w:r>
            <w:proofErr w:type="gramEnd"/>
            <w:r>
              <w:rPr>
                <w:sz w:val="24"/>
              </w:rPr>
              <w:t xml:space="preserve">  «без НДС или НДС не облагается».</w:t>
            </w:r>
          </w:p>
          <w:p w:rsidR="002B2DDF" w:rsidRDefault="00FF5161">
            <w:pPr>
              <w:ind w:firstLine="567"/>
              <w:jc w:val="both"/>
              <w:outlineLvl w:val="3"/>
            </w:pPr>
            <w:r>
              <w:t>Денежные средства, перечисленные за Участника третьим лицом, не зачисляются на счет такого Участника на УТП.</w:t>
            </w:r>
          </w:p>
          <w:p w:rsidR="002B2DDF" w:rsidRDefault="00FF5161">
            <w:pPr>
              <w:ind w:firstLine="567"/>
              <w:jc w:val="both"/>
            </w:pPr>
            <w:r>
              <w:t xml:space="preserve">Образец платежного поручения приведен на электронной площадке по адресу: </w:t>
            </w:r>
            <w:hyperlink r:id="rId12" w:history="1">
              <w:r>
                <w:rPr>
                  <w:u w:val="single"/>
                </w:rPr>
                <w:t>http://utp.sberbank-ast.ru/AP/Notice/653/Requisites</w:t>
              </w:r>
            </w:hyperlink>
          </w:p>
          <w:p w:rsidR="002B2DDF" w:rsidRDefault="00FF5161">
            <w:pPr>
              <w:ind w:firstLine="567"/>
              <w:jc w:val="both"/>
            </w:pPr>
            <w:r>
              <w:t>При перечислении обеспечения участия в нескольких процедурах возможно заполнение одного платежного поручения на общую сумму.</w:t>
            </w:r>
          </w:p>
          <w:p w:rsidR="002B2DDF" w:rsidRDefault="00FF5161">
            <w:pPr>
              <w:ind w:firstLine="567"/>
              <w:jc w:val="both"/>
            </w:pPr>
            <w:r>
              <w:t>При уклонении или отказе победителя аукциона от заключения в установленный срок договора купли-продажи имущества результаты продажи аннулируются, победитель утрачивает право на заключение указанного договора, задаток ему не возвращается.</w:t>
            </w:r>
          </w:p>
          <w:p w:rsidR="002B2DDF" w:rsidRDefault="00FF5161">
            <w:pPr>
              <w:pStyle w:val="TextBoldCenter"/>
              <w:spacing w:before="0"/>
              <w:ind w:firstLine="567"/>
              <w:jc w:val="both"/>
              <w:outlineLvl w:val="0"/>
              <w:rPr>
                <w:b w:val="0"/>
                <w:i/>
                <w:sz w:val="24"/>
              </w:rPr>
            </w:pPr>
            <w:r>
              <w:rPr>
                <w:b w:val="0"/>
                <w:sz w:val="24"/>
              </w:rPr>
              <w:t>Платежи по перечислению задатка для участия в торгах и порядок возврата задатка осуществляются в соответствии с Регламентом электронной площадки.</w:t>
            </w:r>
          </w:p>
          <w:p w:rsidR="002B2DDF" w:rsidRDefault="00FF5161">
            <w:pPr>
              <w:pStyle w:val="ConsPlusNormal"/>
              <w:ind w:firstLine="567"/>
              <w:jc w:val="both"/>
              <w:rPr>
                <w:rFonts w:ascii="Times New Roman" w:hAnsi="Times New Roman"/>
                <w:sz w:val="24"/>
              </w:rPr>
            </w:pPr>
            <w:r>
              <w:rPr>
                <w:rFonts w:ascii="Times New Roman" w:hAnsi="Times New Roman"/>
                <w:sz w:val="24"/>
              </w:rPr>
              <w:t>Задаток возвращается всем участникам аукциона, кроме победителя, в течение 5 (пяти) календарных дней с даты подведения итогов аукциона. Задаток, перечисленный победителем аукциона, засчитывается в сумму платежа по договору купли-продажи.</w:t>
            </w:r>
          </w:p>
          <w:p w:rsidR="002B2DDF" w:rsidRDefault="00FF5161">
            <w:pPr>
              <w:pStyle w:val="ConsPlusNormal"/>
              <w:ind w:firstLine="567"/>
              <w:jc w:val="both"/>
              <w:rPr>
                <w:rFonts w:ascii="Times New Roman" w:hAnsi="Times New Roman"/>
                <w:sz w:val="24"/>
              </w:rPr>
            </w:pPr>
            <w:r>
              <w:rPr>
                <w:rFonts w:ascii="Times New Roman" w:hAnsi="Times New Roman"/>
                <w:sz w:val="24"/>
              </w:rPr>
              <w:t>При уклонении или отказе победителя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w:t>
            </w:r>
          </w:p>
          <w:p w:rsidR="002B2DDF" w:rsidRDefault="00FF5161">
            <w:pPr>
              <w:pStyle w:val="ConsPlusNormal"/>
              <w:ind w:firstLine="567"/>
              <w:jc w:val="both"/>
              <w:rPr>
                <w:rFonts w:ascii="Times New Roman" w:hAnsi="Times New Roman"/>
                <w:sz w:val="24"/>
              </w:rPr>
            </w:pPr>
            <w:r>
              <w:rPr>
                <w:rFonts w:ascii="Times New Roman" w:hAnsi="Times New Roman"/>
                <w:sz w:val="24"/>
              </w:rPr>
              <w:t>В случае расторжения договора купли-продажи по вине Покупателя, задаток не возвращается и остается у Продавца.</w:t>
            </w:r>
          </w:p>
          <w:p w:rsidR="002B2DDF" w:rsidRDefault="00FF5161">
            <w:pPr>
              <w:pStyle w:val="ConsPlusNormal"/>
              <w:ind w:firstLine="567"/>
              <w:jc w:val="both"/>
              <w:rPr>
                <w:rFonts w:ascii="Times New Roman" w:hAnsi="Times New Roman"/>
                <w:sz w:val="24"/>
              </w:rPr>
            </w:pPr>
            <w:r>
              <w:rPr>
                <w:rFonts w:ascii="Times New Roman" w:hAnsi="Times New Roman"/>
                <w:sz w:val="24"/>
              </w:rPr>
              <w:t>Сумму НДС Покупатель-юридическое лицо исчисляет и уплачивает самостоятельно в соответствии с действующим налоговым законодательством Российской Федерации.</w:t>
            </w:r>
          </w:p>
          <w:p w:rsidR="002B2DDF" w:rsidRDefault="002B2DDF">
            <w:pPr>
              <w:pStyle w:val="ConsPlusNormal"/>
              <w:ind w:firstLine="567"/>
              <w:jc w:val="both"/>
              <w:rPr>
                <w:rFonts w:ascii="Times New Roman" w:hAnsi="Times New Roman"/>
                <w:sz w:val="24"/>
              </w:rPr>
            </w:pPr>
          </w:p>
          <w:p w:rsidR="002B2DDF" w:rsidRDefault="00FF5161">
            <w:pPr>
              <w:pStyle w:val="af0"/>
              <w:ind w:firstLine="0"/>
              <w:rPr>
                <w:b/>
                <w:sz w:val="24"/>
              </w:rPr>
            </w:pPr>
            <w:r>
              <w:rPr>
                <w:b/>
                <w:sz w:val="24"/>
              </w:rPr>
              <w:t>Порядок ознакомления с документацией и информацией об имуществе, условиями договора купли-продажи имущества.</w:t>
            </w:r>
          </w:p>
          <w:p w:rsidR="002B2DDF" w:rsidRDefault="00FF5161">
            <w:pPr>
              <w:ind w:firstLine="567"/>
              <w:jc w:val="both"/>
              <w:rPr>
                <w:u w:val="single"/>
              </w:rPr>
            </w:pPr>
            <w:r>
              <w:t xml:space="preserve">Информационное сообщение о проведении электронного аукциона, а также образец договора купли-продажи имущества размещается на официальном сайте Российской Федерации для размещения информации о проведении торгов </w:t>
            </w:r>
            <w:hyperlink r:id="rId13" w:history="1">
              <w:r>
                <w:rPr>
                  <w:rStyle w:val="af2"/>
                </w:rPr>
                <w:t>www.torgi.gov.ru</w:t>
              </w:r>
            </w:hyperlink>
            <w:r>
              <w:t xml:space="preserve">,   на официальном сайте администрации муниципального образования Красноармейский район </w:t>
            </w:r>
            <w:hyperlink r:id="rId14" w:history="1">
              <w:r>
                <w:rPr>
                  <w:rStyle w:val="af2"/>
                </w:rPr>
                <w:t>www.krasnarm.ru</w:t>
              </w:r>
            </w:hyperlink>
            <w:r>
              <w:t xml:space="preserve">, и в открытой для доступа неограниченного круга лиц части электронной площадки на сайте </w:t>
            </w:r>
            <w:hyperlink r:id="rId15" w:history="1">
              <w:r>
                <w:rPr>
                  <w:rStyle w:val="af2"/>
                </w:rPr>
                <w:t>http://utp.sberbank-ast.ru</w:t>
              </w:r>
            </w:hyperlink>
            <w:r>
              <w:t>.</w:t>
            </w:r>
          </w:p>
          <w:p w:rsidR="002B2DDF" w:rsidRDefault="00FF5161">
            <w:pPr>
              <w:ind w:firstLine="567"/>
              <w:jc w:val="both"/>
            </w:pPr>
            <w:r>
              <w:t>Любое заинтересованное лицо независимо от регистрации на электронной площадке со дня начала приема заявок вправе направить на электронный адрес Оператора электронной площадки запрос о разъяснении размещенной информации.</w:t>
            </w:r>
          </w:p>
          <w:p w:rsidR="002B2DDF" w:rsidRDefault="00FF5161">
            <w:pPr>
              <w:ind w:firstLine="567"/>
              <w:jc w:val="both"/>
              <w:outlineLvl w:val="0"/>
            </w:pPr>
            <w:r>
              <w:t>Такой запрос в режиме реального времени направляется в «личный кабинет» Продавца для рассмотрения при условии, что запрос поступил Продавцу торгов не позднее 5 (пяти) рабочих дней до даты окончания подачи заявок.</w:t>
            </w:r>
          </w:p>
          <w:p w:rsidR="002B2DDF" w:rsidRDefault="00FF5161">
            <w:pPr>
              <w:ind w:firstLine="567"/>
              <w:jc w:val="both"/>
              <w:outlineLvl w:val="0"/>
            </w:pPr>
            <w:r>
              <w:t>В течение 2 (двух)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2B2DDF" w:rsidRDefault="00FF5161">
            <w:pPr>
              <w:ind w:firstLine="567"/>
              <w:jc w:val="both"/>
              <w:outlineLvl w:val="0"/>
            </w:pPr>
            <w:r>
              <w:t xml:space="preserve">Любое заинтересованное лицо независимо от регистрации на электронной площадке со дня начала приема заявок вправе осмотреть выставленные на продажу объекты недвижимости. </w:t>
            </w:r>
          </w:p>
          <w:p w:rsidR="002B2DDF" w:rsidRDefault="00FF5161">
            <w:pPr>
              <w:ind w:firstLine="567"/>
              <w:jc w:val="both"/>
            </w:pPr>
            <w:r>
              <w:t xml:space="preserve">Проведение показа имущества осуществляется по рабочим дням с 8 часов 00 минут до 12 часов 00 минут </w:t>
            </w:r>
            <w:proofErr w:type="gramStart"/>
            <w:r>
              <w:t>и  с</w:t>
            </w:r>
            <w:proofErr w:type="gramEnd"/>
            <w:r>
              <w:t xml:space="preserve"> 13 часов 00 минут до 16 часов 00 минут по местному времени,  по адресу: 353800, Краснодарский край, Красноармейский район, станица Полтавская ул. Просвещения, 107Б, 1-ий этаж, кабинет № 3. Телефон для справок 8 (86165) 3-25-57.</w:t>
            </w:r>
          </w:p>
          <w:p w:rsidR="002B2DDF" w:rsidRDefault="00FF5161">
            <w:pPr>
              <w:ind w:firstLine="567"/>
              <w:jc w:val="both"/>
            </w:pPr>
            <w:r>
              <w:lastRenderedPageBreak/>
              <w:t xml:space="preserve">С документацией по продаваемым объектам, условиями договора купли-продажи имущества можно </w:t>
            </w:r>
            <w:proofErr w:type="gramStart"/>
            <w:r>
              <w:t>ознакомиться  у</w:t>
            </w:r>
            <w:proofErr w:type="gramEnd"/>
            <w:r>
              <w:t xml:space="preserve"> Продавца по адресу: Краснодарский край, Красноармейский район, станица Полтавская, ул. Просвещения, 107Б, 1-ий этаж, кабинет № 3</w:t>
            </w:r>
            <w:r>
              <w:rPr>
                <w:color w:val="FF0000"/>
              </w:rPr>
              <w:t xml:space="preserve"> в рабочие дни с 10 часов 00 минут до                 16 часов 00 минут. </w:t>
            </w:r>
            <w:r>
              <w:t>Телефон для справок 8 (86165) 3-25-57.</w:t>
            </w:r>
          </w:p>
          <w:p w:rsidR="002B2DDF" w:rsidRDefault="00FF5161">
            <w:pPr>
              <w:pStyle w:val="af0"/>
              <w:tabs>
                <w:tab w:val="left" w:pos="0"/>
              </w:tabs>
              <w:ind w:firstLine="567"/>
              <w:rPr>
                <w:sz w:val="24"/>
              </w:rPr>
            </w:pPr>
            <w:r>
              <w:rPr>
                <w:color w:val="FF0000"/>
                <w:sz w:val="24"/>
              </w:rPr>
              <w:tab/>
            </w:r>
            <w:r>
              <w:rPr>
                <w:sz w:val="24"/>
              </w:rPr>
              <w:t>Победитель торгов, не реализовавший свое право на осмотр объекта и изучение его технической документации, лишается права предъявлять претензии к Продавцу по поводу юридического, физического и финансового состояния объекта.</w:t>
            </w:r>
          </w:p>
          <w:p w:rsidR="002B2DDF" w:rsidRDefault="002B2DDF">
            <w:pPr>
              <w:pStyle w:val="af0"/>
              <w:tabs>
                <w:tab w:val="left" w:pos="0"/>
              </w:tabs>
              <w:ind w:firstLine="567"/>
              <w:rPr>
                <w:sz w:val="24"/>
              </w:rPr>
            </w:pPr>
          </w:p>
          <w:p w:rsidR="002B2DDF" w:rsidRDefault="00FF5161">
            <w:pPr>
              <w:pStyle w:val="af0"/>
              <w:ind w:firstLine="0"/>
              <w:rPr>
                <w:b/>
                <w:sz w:val="24"/>
              </w:rPr>
            </w:pPr>
            <w:r>
              <w:rPr>
                <w:b/>
                <w:sz w:val="24"/>
              </w:rPr>
              <w:t>Порядок проведения электронного аукциона, определения его победителей и место подведения итогов продажи муниципального имущества.</w:t>
            </w:r>
          </w:p>
          <w:p w:rsidR="002B2DDF" w:rsidRDefault="00FF5161">
            <w:pPr>
              <w:ind w:firstLine="567"/>
              <w:jc w:val="both"/>
            </w:pPr>
            <w:r>
              <w:t>Победителем признается участник,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w:t>
            </w:r>
          </w:p>
          <w:p w:rsidR="002B2DDF" w:rsidRDefault="00FF5161">
            <w:pPr>
              <w:ind w:firstLine="567"/>
              <w:jc w:val="both"/>
            </w:pPr>
            <w:r>
              <w:t>В случае, если несколько участников подтверждают цену первоначального предложения или цену предложения, сложившуюся на одном из «шагов понижения», со всеми участниками проводится аукцион. Начальной ценой имущества на аукционе является соответственно цена первоначального предложения или цена предложения, сложившаяся на данном «шаге понижения». Время приема предложений участников о цене имущества составляет 10 минут. «Шаг аукциона» устанавливается продавцом в фиксированной сумме, составляющей не более 50 процентов «шага понижения», и не изменяется в течение всей процедуры продажи имущества посредством публичного предложения.</w:t>
            </w:r>
          </w:p>
          <w:p w:rsidR="002B2DDF" w:rsidRDefault="00FF5161">
            <w:pPr>
              <w:ind w:firstLine="567"/>
              <w:jc w:val="both"/>
            </w:pPr>
            <w:r>
              <w:t>В случае если участники не заявляют предложения о цене, превышающей начальную цену имущества, победителем признается участник, который первым подтвердил начальную цену имущества.</w:t>
            </w:r>
          </w:p>
          <w:p w:rsidR="002B2DDF" w:rsidRDefault="00FF5161">
            <w:pPr>
              <w:ind w:firstLine="567"/>
              <w:jc w:val="both"/>
            </w:pPr>
            <w:r>
              <w:t>Продажа посредством публичного предложения, в которой принял участие только один участник, признается несостоявшейся.</w:t>
            </w:r>
          </w:p>
          <w:p w:rsidR="002B2DDF" w:rsidRDefault="00FF5161">
            <w:pPr>
              <w:ind w:firstLine="567"/>
              <w:jc w:val="both"/>
              <w:rPr>
                <w:u w:val="single"/>
              </w:rPr>
            </w:pPr>
            <w:r>
              <w:t xml:space="preserve">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 который размещается на официальном сайте Российской Федерации для размещения информации о проведении торгов </w:t>
            </w:r>
            <w:hyperlink r:id="rId16" w:history="1">
              <w:r>
                <w:rPr>
                  <w:u w:val="single"/>
                </w:rPr>
                <w:t>www.torgi.gov.ru</w:t>
              </w:r>
            </w:hyperlink>
            <w:r>
              <w:t xml:space="preserve">, на  официальном сайте администрации муниципального образования Красноармейский район </w:t>
            </w:r>
            <w:hyperlink r:id="rId17" w:history="1">
              <w:r>
                <w:rPr>
                  <w:rStyle w:val="af2"/>
                </w:rPr>
                <w:t>www.krasnarm.ru</w:t>
              </w:r>
            </w:hyperlink>
            <w:r>
              <w:t xml:space="preserve">  не позднее дня, следующего за днем подписания указанного протокола. А также информационное сообщение об итогах аукциона на  официальном сайте администрации муниципального образования Красноармейский район </w:t>
            </w:r>
            <w:hyperlink r:id="rId18" w:history="1">
              <w:r>
                <w:rPr>
                  <w:rStyle w:val="af2"/>
                </w:rPr>
                <w:t>www.krasnarm.ru</w:t>
              </w:r>
            </w:hyperlink>
            <w:r>
              <w:rPr>
                <w:u w:val="single"/>
              </w:rPr>
              <w:t>,</w:t>
            </w:r>
            <w:r>
              <w:t xml:space="preserve"> не позднее дня, следующего за днем подписания указанного протокола.</w:t>
            </w:r>
          </w:p>
          <w:p w:rsidR="002B2DDF" w:rsidRDefault="00FF5161">
            <w:pPr>
              <w:ind w:firstLine="567"/>
              <w:jc w:val="both"/>
              <w:outlineLvl w:val="1"/>
            </w:pPr>
            <w:r>
              <w:t xml:space="preserve">Процедура аукциона считается завершенной с момента подписания Продавцом протокола об итогах аукциона. </w:t>
            </w:r>
          </w:p>
          <w:p w:rsidR="002B2DDF" w:rsidRDefault="002B2DDF">
            <w:pPr>
              <w:ind w:firstLine="567"/>
              <w:jc w:val="both"/>
              <w:outlineLvl w:val="1"/>
            </w:pPr>
          </w:p>
          <w:p w:rsidR="002B2DDF" w:rsidRDefault="00FF5161">
            <w:pPr>
              <w:ind w:right="20" w:firstLine="540"/>
              <w:jc w:val="both"/>
              <w:rPr>
                <w:rFonts w:ascii="PT Astra Serif" w:hAnsi="PT Astra Serif"/>
                <w:sz w:val="20"/>
              </w:rPr>
            </w:pPr>
            <w:r>
              <w:rPr>
                <w:rFonts w:ascii="PT Astra Serif" w:hAnsi="PT Astra Serif"/>
                <w:b/>
              </w:rPr>
              <w:t xml:space="preserve">Порядок признания претендентов участниками продажи посредством публичного предложения: </w:t>
            </w:r>
            <w:r>
              <w:rPr>
                <w:rFonts w:ascii="PT Astra Serif" w:hAnsi="PT Astra Serif"/>
              </w:rPr>
              <w:t>в соответствии с данным информационным сообщением.</w:t>
            </w:r>
          </w:p>
          <w:p w:rsidR="002B2DDF" w:rsidRDefault="002B2DDF">
            <w:pPr>
              <w:spacing w:line="2" w:lineRule="exact"/>
              <w:jc w:val="both"/>
              <w:rPr>
                <w:rFonts w:ascii="PT Astra Serif" w:hAnsi="PT Astra Serif"/>
                <w:sz w:val="20"/>
              </w:rPr>
            </w:pPr>
          </w:p>
          <w:p w:rsidR="002B2DDF" w:rsidRDefault="00FF5161">
            <w:pPr>
              <w:ind w:left="560"/>
              <w:jc w:val="both"/>
              <w:rPr>
                <w:rFonts w:ascii="PT Astra Serif" w:hAnsi="PT Astra Serif"/>
                <w:sz w:val="20"/>
              </w:rPr>
            </w:pPr>
            <w:r>
              <w:rPr>
                <w:rFonts w:ascii="PT Astra Serif" w:hAnsi="PT Astra Serif"/>
              </w:rPr>
              <w:t>Претендент не допускается к участию в продаже посредством публичного предложения по следующим основаниям:</w:t>
            </w:r>
          </w:p>
          <w:p w:rsidR="002B2DDF" w:rsidRDefault="00FF5161">
            <w:pPr>
              <w:numPr>
                <w:ilvl w:val="0"/>
                <w:numId w:val="1"/>
              </w:numPr>
              <w:tabs>
                <w:tab w:val="left" w:pos="922"/>
              </w:tabs>
              <w:ind w:right="20" w:firstLine="567"/>
              <w:jc w:val="both"/>
              <w:rPr>
                <w:rFonts w:ascii="PT Astra Serif" w:hAnsi="PT Astra Serif"/>
              </w:rPr>
            </w:pPr>
            <w:r>
              <w:rPr>
                <w:rFonts w:ascii="PT Astra Serif" w:hAnsi="PT Astra Serif"/>
              </w:rPr>
              <w:t>представленные документы не подтверждают право претендента быть покупателем в соответствии с законодательством Российской Федерации;</w:t>
            </w:r>
          </w:p>
          <w:p w:rsidR="002B2DDF" w:rsidRDefault="00FF5161">
            <w:pPr>
              <w:numPr>
                <w:ilvl w:val="0"/>
                <w:numId w:val="1"/>
              </w:numPr>
              <w:tabs>
                <w:tab w:val="left" w:pos="850"/>
              </w:tabs>
              <w:ind w:right="20" w:firstLine="567"/>
              <w:jc w:val="both"/>
              <w:rPr>
                <w:rFonts w:ascii="PT Astra Serif" w:hAnsi="PT Astra Serif"/>
              </w:rPr>
            </w:pPr>
            <w:r>
              <w:rPr>
                <w:rFonts w:ascii="PT Astra Serif" w:hAnsi="PT Astra Serif"/>
              </w:rPr>
              <w:t>представлены не все документы в соответствии с перечнем, указанным в информационном сообщении о продаже муниципального имущества, либо оформление указанных документов не соответствует законодательству Российской Федерации;</w:t>
            </w:r>
          </w:p>
          <w:p w:rsidR="002B2DDF" w:rsidRDefault="00FF5161">
            <w:pPr>
              <w:numPr>
                <w:ilvl w:val="0"/>
                <w:numId w:val="1"/>
              </w:numPr>
              <w:tabs>
                <w:tab w:val="left" w:pos="931"/>
              </w:tabs>
              <w:ind w:right="20" w:firstLine="567"/>
              <w:jc w:val="both"/>
              <w:rPr>
                <w:rFonts w:ascii="PT Astra Serif" w:hAnsi="PT Astra Serif"/>
              </w:rPr>
            </w:pPr>
            <w:r>
              <w:rPr>
                <w:rFonts w:ascii="PT Astra Serif" w:hAnsi="PT Astra Serif"/>
              </w:rPr>
              <w:t>заявка на участие в продаже подана лицом, не уполномоченным претендентом на осуществление таких действий;</w:t>
            </w:r>
          </w:p>
          <w:p w:rsidR="002B2DDF" w:rsidRDefault="002B2DDF">
            <w:pPr>
              <w:spacing w:line="13" w:lineRule="exact"/>
              <w:jc w:val="both"/>
              <w:rPr>
                <w:rFonts w:ascii="PT Astra Serif" w:hAnsi="PT Astra Serif"/>
              </w:rPr>
            </w:pPr>
          </w:p>
          <w:p w:rsidR="002B2DDF" w:rsidRDefault="00FF5161">
            <w:pPr>
              <w:numPr>
                <w:ilvl w:val="0"/>
                <w:numId w:val="1"/>
              </w:numPr>
              <w:tabs>
                <w:tab w:val="left" w:pos="912"/>
              </w:tabs>
              <w:ind w:right="20" w:firstLine="567"/>
              <w:jc w:val="both"/>
              <w:rPr>
                <w:rFonts w:ascii="PT Astra Serif" w:hAnsi="PT Astra Serif"/>
                <w:sz w:val="20"/>
              </w:rPr>
            </w:pPr>
            <w:r>
              <w:rPr>
                <w:rFonts w:ascii="PT Astra Serif" w:hAnsi="PT Astra Serif"/>
              </w:rPr>
              <w:t>не подтверждено поступление в установленный срок задатка на счет, указанный в информационном сообщении.</w:t>
            </w:r>
          </w:p>
          <w:p w:rsidR="002B2DDF" w:rsidRDefault="002B2DDF">
            <w:pPr>
              <w:numPr>
                <w:ilvl w:val="0"/>
                <w:numId w:val="1"/>
              </w:numPr>
              <w:tabs>
                <w:tab w:val="left" w:pos="912"/>
              </w:tabs>
              <w:ind w:right="20" w:firstLine="567"/>
              <w:jc w:val="both"/>
              <w:rPr>
                <w:rFonts w:ascii="PT Astra Serif" w:hAnsi="PT Astra Serif"/>
                <w:sz w:val="20"/>
              </w:rPr>
            </w:pPr>
          </w:p>
          <w:p w:rsidR="002B2DDF" w:rsidRDefault="00FF5161">
            <w:pPr>
              <w:ind w:firstLine="567"/>
              <w:jc w:val="both"/>
              <w:rPr>
                <w:rFonts w:ascii="PT Astra Serif" w:hAnsi="PT Astra Serif"/>
                <w:sz w:val="20"/>
              </w:rPr>
            </w:pPr>
            <w:r>
              <w:rPr>
                <w:rFonts w:ascii="PT Astra Serif" w:hAnsi="PT Astra Serif"/>
                <w:b/>
              </w:rPr>
              <w:t xml:space="preserve">Порядок проведения продажи посредством публичного предложения: </w:t>
            </w:r>
            <w:r>
              <w:rPr>
                <w:rFonts w:ascii="PT Astra Serif" w:hAnsi="PT Astra Serif"/>
              </w:rPr>
              <w:t>в соответствии с регламентом электронной площадки.</w:t>
            </w:r>
          </w:p>
          <w:p w:rsidR="002B2DDF" w:rsidRDefault="00FF5161">
            <w:pPr>
              <w:ind w:firstLine="540"/>
              <w:jc w:val="both"/>
              <w:rPr>
                <w:rFonts w:ascii="PT Astra Serif" w:hAnsi="PT Astra Serif"/>
                <w:sz w:val="20"/>
              </w:rPr>
            </w:pPr>
            <w:r>
              <w:rPr>
                <w:rFonts w:ascii="PT Astra Serif" w:hAnsi="PT Astra Serif"/>
              </w:rPr>
              <w:t>Ход проведения процедуры продажи посредством публичного предложения фиксируется электронной площадкой в электронном журнале.</w:t>
            </w:r>
          </w:p>
          <w:p w:rsidR="002B2DDF" w:rsidRDefault="00FF5161">
            <w:pPr>
              <w:ind w:firstLine="567"/>
              <w:jc w:val="both"/>
              <w:rPr>
                <w:rFonts w:ascii="PT Astra Serif" w:hAnsi="PT Astra Serif"/>
              </w:rPr>
            </w:pPr>
            <w:r>
              <w:rPr>
                <w:rFonts w:ascii="PT Astra Serif" w:hAnsi="PT Astra Serif"/>
              </w:rPr>
              <w:lastRenderedPageBreak/>
              <w:t>Протокол об итогах продажи имущества посредством публичного предложения, содержащий цену имущества, предложенную победителем, и удостоверяющий право победителя на заключение договора купли-продажи имущества, подписывается продавцом в течение одного часа со времени получения от оператора электронной площадки электронного журнала. Процедура продажи имущества посредством публичного предложения считается завершенной со времени подписания продавцом протокола об итогах такой продажи.</w:t>
            </w:r>
          </w:p>
          <w:p w:rsidR="002B2DDF" w:rsidRDefault="002B2DDF">
            <w:pPr>
              <w:ind w:firstLine="567"/>
              <w:jc w:val="both"/>
              <w:rPr>
                <w:rFonts w:ascii="PT Astra Serif" w:hAnsi="PT Astra Serif"/>
              </w:rPr>
            </w:pPr>
          </w:p>
          <w:p w:rsidR="002B2DDF" w:rsidRDefault="00FF5161">
            <w:pPr>
              <w:pStyle w:val="af0"/>
              <w:ind w:firstLine="0"/>
              <w:rPr>
                <w:b/>
                <w:sz w:val="24"/>
              </w:rPr>
            </w:pPr>
            <w:r>
              <w:rPr>
                <w:b/>
                <w:sz w:val="24"/>
              </w:rPr>
              <w:t>Срок заключения договора купли-продажи.</w:t>
            </w:r>
          </w:p>
          <w:p w:rsidR="002B2DDF" w:rsidRDefault="00FF5161">
            <w:pPr>
              <w:ind w:firstLine="567"/>
              <w:jc w:val="both"/>
            </w:pPr>
            <w:r>
              <w:t>Договор купли-продажи имущества (приложение к информационному со</w:t>
            </w:r>
            <w:bookmarkStart w:id="0" w:name="_GoBack"/>
            <w:bookmarkEnd w:id="0"/>
            <w:r>
              <w:t>общению), заключается между Продавцом и победителем аукциона в соответствии с Гражданским кодексом Российской Федерации, Законом о приватизации в течение 5 рабочих дней со дня подведения итогов аукциона.</w:t>
            </w:r>
          </w:p>
          <w:p w:rsidR="002B2DDF" w:rsidRDefault="00FF5161">
            <w:pPr>
              <w:ind w:firstLine="567"/>
              <w:jc w:val="both"/>
            </w:pPr>
            <w:r>
              <w:t>Договор купли-продажи заключается с победителем в форме электронного документа.</w:t>
            </w:r>
          </w:p>
          <w:p w:rsidR="002B2DDF" w:rsidRDefault="00FF5161">
            <w:pPr>
              <w:ind w:firstLine="567"/>
              <w:jc w:val="both"/>
            </w:pPr>
            <w:r>
              <w:t>При уклонении или отказе победителя аукциона от заключения в установленный срок договора купли-продажи имущества результаты аукциона аннулируются Продавцом, победитель утрачивает право на заключение указанного договора, задаток ему не возвращается.</w:t>
            </w:r>
          </w:p>
          <w:p w:rsidR="002B2DDF" w:rsidRDefault="00FF5161">
            <w:pPr>
              <w:tabs>
                <w:tab w:val="left" w:pos="707"/>
                <w:tab w:val="left" w:pos="1413"/>
                <w:tab w:val="left" w:pos="2124"/>
                <w:tab w:val="left" w:pos="2831"/>
                <w:tab w:val="left" w:pos="3538"/>
                <w:tab w:val="left" w:pos="4248"/>
                <w:tab w:val="left" w:pos="4955"/>
                <w:tab w:val="left" w:pos="5662"/>
                <w:tab w:val="left" w:pos="6372"/>
                <w:tab w:val="left" w:pos="7079"/>
                <w:tab w:val="left" w:pos="7786"/>
                <w:tab w:val="left" w:pos="8497"/>
                <w:tab w:val="left" w:pos="9203"/>
                <w:tab w:val="left" w:pos="9348"/>
                <w:tab w:val="left" w:pos="9913"/>
              </w:tabs>
              <w:jc w:val="both"/>
            </w:pPr>
            <w:r>
              <w:t>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(тридцати) календарных дней после дня оплаты имущества. Согласно условиям Договора купли-продажи имущества, оплата расходов по удостоверению Договора купли-продажи имущества, а также расходов по нотариальным действиям, связанным с удостоверением Договора купли-продажи имущества, лежит на Покупателе.</w:t>
            </w:r>
          </w:p>
          <w:p w:rsidR="002B2DDF" w:rsidRDefault="002B2DDF">
            <w:pPr>
              <w:tabs>
                <w:tab w:val="left" w:pos="707"/>
                <w:tab w:val="left" w:pos="1413"/>
                <w:tab w:val="left" w:pos="2124"/>
                <w:tab w:val="left" w:pos="2831"/>
                <w:tab w:val="left" w:pos="3538"/>
                <w:tab w:val="left" w:pos="4248"/>
                <w:tab w:val="left" w:pos="4955"/>
                <w:tab w:val="left" w:pos="5662"/>
                <w:tab w:val="left" w:pos="6372"/>
                <w:tab w:val="left" w:pos="7079"/>
                <w:tab w:val="left" w:pos="7786"/>
                <w:tab w:val="left" w:pos="8497"/>
                <w:tab w:val="left" w:pos="9203"/>
                <w:tab w:val="left" w:pos="9348"/>
                <w:tab w:val="left" w:pos="9913"/>
              </w:tabs>
              <w:jc w:val="both"/>
            </w:pPr>
          </w:p>
          <w:p w:rsidR="002B2DDF" w:rsidRDefault="00FF5161">
            <w:pPr>
              <w:pStyle w:val="af0"/>
              <w:ind w:firstLine="0"/>
              <w:rPr>
                <w:b/>
                <w:sz w:val="24"/>
              </w:rPr>
            </w:pPr>
            <w:r>
              <w:rPr>
                <w:b/>
                <w:sz w:val="24"/>
              </w:rPr>
              <w:t>Условия и сроки платежа, реквизиты счетов для оплаты по договору купли-продажи.</w:t>
            </w:r>
          </w:p>
          <w:p w:rsidR="002B2DDF" w:rsidRDefault="00FF5161">
            <w:pPr>
              <w:ind w:firstLine="567"/>
              <w:jc w:val="both"/>
            </w:pPr>
            <w:r>
              <w:t>Оплата производится Покупателем в срок не позднее 10 (</w:t>
            </w:r>
            <w:proofErr w:type="gramStart"/>
            <w:r>
              <w:t>десяти)  дней</w:t>
            </w:r>
            <w:proofErr w:type="gramEnd"/>
            <w:r>
              <w:t xml:space="preserve"> со дня заключения настоящего договора путем единовременного перечисления в безналичном порядке денежных средств в рублях на расчетные счета по следующим реквизитам: - реквизиты для перечисления денежных средств за  нежилое здание: ИНН 2336001958 КПП 233601001 Финансовое управление (Управление </w:t>
            </w:r>
            <w:r w:rsidRPr="00941509">
              <w:t xml:space="preserve">муниципальной </w:t>
            </w:r>
            <w:r w:rsidRPr="00941509">
              <w:rPr>
                <w:sz w:val="28"/>
              </w:rPr>
              <w:t xml:space="preserve">собственностью л/с </w:t>
            </w:r>
            <w:r w:rsidR="00EA00C2" w:rsidRPr="00941509">
              <w:rPr>
                <w:sz w:val="28"/>
              </w:rPr>
              <w:t>03183210671</w:t>
            </w:r>
            <w:r w:rsidRPr="00941509">
              <w:rPr>
                <w:sz w:val="28"/>
              </w:rPr>
              <w:t xml:space="preserve">). </w:t>
            </w:r>
            <w:r>
              <w:t xml:space="preserve">Наименование банка: Южное </w:t>
            </w:r>
            <w:proofErr w:type="gramStart"/>
            <w:r>
              <w:t>ГУ  Банка</w:t>
            </w:r>
            <w:proofErr w:type="gramEnd"/>
            <w:r>
              <w:t xml:space="preserve"> России//УФК по Краснодарскому краю г. Краснодар  БИК ТОФК 010349101 Единый казначейский счет 40102810945370000010 Казначейский счет 03232643036230001800. </w:t>
            </w:r>
            <w:r>
              <w:rPr>
                <w:b/>
              </w:rPr>
              <w:t>Назначение платежа</w:t>
            </w:r>
            <w:r>
              <w:t>:</w:t>
            </w:r>
            <w:r>
              <w:rPr>
                <w:spacing w:val="-1"/>
              </w:rPr>
              <w:t xml:space="preserve"> «Оплата по договору купли-продажи (дата и номер договора).</w:t>
            </w:r>
            <w:r>
              <w:t xml:space="preserve">  </w:t>
            </w:r>
          </w:p>
          <w:p w:rsidR="002B2DDF" w:rsidRDefault="002B2DDF">
            <w:pPr>
              <w:ind w:firstLine="567"/>
              <w:jc w:val="both"/>
            </w:pPr>
          </w:p>
          <w:p w:rsidR="002B2DDF" w:rsidRDefault="00FF5161">
            <w:pPr>
              <w:pStyle w:val="ConsPlusNormal"/>
              <w:rPr>
                <w:rFonts w:ascii="Times New Roman" w:hAnsi="Times New Roman"/>
                <w:b/>
                <w:sz w:val="24"/>
              </w:rPr>
            </w:pPr>
            <w:r>
              <w:rPr>
                <w:rFonts w:ascii="Times New Roman" w:hAnsi="Times New Roman"/>
                <w:b/>
                <w:sz w:val="24"/>
              </w:rPr>
              <w:t xml:space="preserve">Ограничения участия отдельных категорий физических </w:t>
            </w:r>
            <w:proofErr w:type="gramStart"/>
            <w:r>
              <w:rPr>
                <w:rFonts w:ascii="Times New Roman" w:hAnsi="Times New Roman"/>
                <w:b/>
                <w:sz w:val="24"/>
              </w:rPr>
              <w:t>лиц  и</w:t>
            </w:r>
            <w:proofErr w:type="gramEnd"/>
            <w:r>
              <w:rPr>
                <w:rFonts w:ascii="Times New Roman" w:hAnsi="Times New Roman"/>
                <w:b/>
                <w:sz w:val="24"/>
              </w:rPr>
              <w:t xml:space="preserve"> юридических лиц в приватизации муниципального имущества.</w:t>
            </w:r>
          </w:p>
          <w:p w:rsidR="002B2DDF" w:rsidRDefault="00FF5161">
            <w:pPr>
              <w:ind w:firstLine="567"/>
              <w:jc w:val="both"/>
            </w:pPr>
            <w:r>
              <w:t>К участию допускаются физические и юридические лица, которые в соответствии со ст. 5 Федерального закона от 21.12.2001 № 178-ФЗ «О приватизации государственного и муниципального имущества» могут быть признаны покупателями, своевременно подавшие заявку на участие в аукционе и представившие документы в соответствии с установленным перечнем.</w:t>
            </w:r>
          </w:p>
          <w:p w:rsidR="002B2DDF" w:rsidRDefault="00FF5161">
            <w:pPr>
              <w:pStyle w:val="ConsPlusNormal"/>
              <w:ind w:firstLine="540"/>
              <w:jc w:val="both"/>
              <w:rPr>
                <w:rFonts w:ascii="Times New Roman" w:hAnsi="Times New Roman"/>
                <w:sz w:val="24"/>
              </w:rPr>
            </w:pPr>
            <w:r>
              <w:rPr>
                <w:rFonts w:ascii="Times New Roman" w:hAnsi="Times New Roman"/>
                <w:sz w:val="24"/>
              </w:rPr>
              <w:t>Покупателями государственного и муниципального имущества могут быть любые физические и юридические лица, за исключением:</w:t>
            </w:r>
          </w:p>
          <w:p w:rsidR="002B2DDF" w:rsidRDefault="00FF5161">
            <w:pPr>
              <w:pStyle w:val="ConsPlusNormal"/>
              <w:ind w:firstLine="540"/>
              <w:jc w:val="both"/>
              <w:rPr>
                <w:rFonts w:ascii="Times New Roman" w:hAnsi="Times New Roman"/>
                <w:sz w:val="24"/>
              </w:rPr>
            </w:pPr>
            <w:r>
              <w:rPr>
                <w:rFonts w:ascii="Times New Roman" w:hAnsi="Times New Roman"/>
                <w:sz w:val="24"/>
              </w:rPr>
              <w:t>государственных и муниципальных унитарных предприятий, государственных и муниципальных учреждений;</w:t>
            </w:r>
          </w:p>
          <w:p w:rsidR="002B2DDF" w:rsidRDefault="00FF5161">
            <w:pPr>
              <w:pStyle w:val="ConsPlusNormal"/>
              <w:ind w:firstLine="540"/>
              <w:jc w:val="both"/>
              <w:rPr>
                <w:rFonts w:ascii="Times New Roman" w:hAnsi="Times New Roman"/>
                <w:sz w:val="24"/>
              </w:rPr>
            </w:pPr>
            <w:r>
              <w:rPr>
                <w:rFonts w:ascii="Times New Roman" w:hAnsi="Times New Roman"/>
                <w:sz w:val="24"/>
              </w:rPr>
              <w:t xml:space="preserve">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w:t>
            </w:r>
            <w:hyperlink r:id="rId19" w:anchor="/document/12125505/entry/25" w:history="1">
              <w:r>
                <w:rPr>
                  <w:rStyle w:val="af2"/>
                  <w:rFonts w:ascii="Times New Roman" w:hAnsi="Times New Roman"/>
                  <w:color w:val="000000"/>
                  <w:sz w:val="24"/>
                  <w:u w:val="none"/>
                </w:rPr>
                <w:t>статьей 25</w:t>
              </w:r>
            </w:hyperlink>
            <w:r>
              <w:rPr>
                <w:rFonts w:ascii="Times New Roman" w:hAnsi="Times New Roman"/>
                <w:sz w:val="24"/>
              </w:rPr>
              <w:t xml:space="preserve"> настоящего Федерального закона;</w:t>
            </w:r>
          </w:p>
          <w:p w:rsidR="002B2DDF" w:rsidRDefault="00FF5161">
            <w:pPr>
              <w:pStyle w:val="ConsPlusNormal"/>
              <w:ind w:firstLine="540"/>
              <w:jc w:val="both"/>
              <w:rPr>
                <w:rFonts w:ascii="Times New Roman" w:hAnsi="Times New Roman"/>
                <w:sz w:val="24"/>
              </w:rPr>
            </w:pPr>
            <w:r>
              <w:rPr>
                <w:rFonts w:ascii="Times New Roman" w:hAnsi="Times New Roman"/>
                <w:sz w:val="24"/>
              </w:rPr>
              <w:t xml:space="preserve">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w:t>
            </w:r>
            <w:proofErr w:type="spellStart"/>
            <w:r>
              <w:rPr>
                <w:rFonts w:ascii="Times New Roman" w:hAnsi="Times New Roman"/>
                <w:sz w:val="24"/>
              </w:rPr>
              <w:t>бенефициарных</w:t>
            </w:r>
            <w:proofErr w:type="spellEnd"/>
            <w:r>
              <w:rPr>
                <w:rFonts w:ascii="Times New Roman" w:hAnsi="Times New Roman"/>
                <w:sz w:val="24"/>
              </w:rPr>
              <w:t xml:space="preserve"> владельцах и контролирующих лицах в порядке, установленном Правительством Российской Федерации.</w:t>
            </w:r>
          </w:p>
          <w:p w:rsidR="002B2DDF" w:rsidRDefault="00FF5161">
            <w:pPr>
              <w:pStyle w:val="ConsPlusNormal"/>
              <w:ind w:firstLine="540"/>
              <w:jc w:val="both"/>
              <w:rPr>
                <w:rFonts w:ascii="Times New Roman" w:hAnsi="Times New Roman"/>
                <w:sz w:val="24"/>
              </w:rPr>
            </w:pPr>
            <w:r>
              <w:rPr>
                <w:rFonts w:ascii="Times New Roman" w:hAnsi="Times New Roman"/>
                <w:sz w:val="24"/>
              </w:rPr>
              <w:t xml:space="preserve">Понятие "контролирующее лицо" используется в том же значении, что и в </w:t>
            </w:r>
            <w:hyperlink r:id="rId20" w:anchor="/document/12160212/entry/5" w:history="1">
              <w:r>
                <w:rPr>
                  <w:rStyle w:val="af2"/>
                  <w:rFonts w:ascii="Times New Roman" w:hAnsi="Times New Roman"/>
                  <w:color w:val="000000"/>
                  <w:sz w:val="24"/>
                  <w:u w:val="none"/>
                </w:rPr>
                <w:t>статье 5</w:t>
              </w:r>
            </w:hyperlink>
            <w:r>
              <w:rPr>
                <w:rFonts w:ascii="Times New Roman" w:hAnsi="Times New Roman"/>
                <w:sz w:val="24"/>
              </w:rPr>
              <w:t xml:space="preserve"> Федерального закона от 29 апреля 2008 года N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Понятия "выгодоприобретатель" и "</w:t>
            </w:r>
            <w:proofErr w:type="spellStart"/>
            <w:r>
              <w:rPr>
                <w:rFonts w:ascii="Times New Roman" w:hAnsi="Times New Roman"/>
                <w:sz w:val="24"/>
              </w:rPr>
              <w:t>бенефициарный</w:t>
            </w:r>
            <w:proofErr w:type="spellEnd"/>
            <w:r>
              <w:rPr>
                <w:rFonts w:ascii="Times New Roman" w:hAnsi="Times New Roman"/>
                <w:sz w:val="24"/>
              </w:rPr>
              <w:t xml:space="preserve"> владелец" используются в значениях, указанных в </w:t>
            </w:r>
            <w:hyperlink r:id="rId21" w:anchor="/document/12123862/entry/3" w:history="1">
              <w:r>
                <w:rPr>
                  <w:rStyle w:val="af2"/>
                  <w:rFonts w:ascii="Times New Roman" w:hAnsi="Times New Roman"/>
                  <w:color w:val="000000"/>
                  <w:sz w:val="24"/>
                  <w:u w:val="none"/>
                </w:rPr>
                <w:t>статье 3</w:t>
              </w:r>
            </w:hyperlink>
            <w:r>
              <w:rPr>
                <w:rFonts w:ascii="Times New Roman" w:hAnsi="Times New Roman"/>
                <w:sz w:val="24"/>
              </w:rPr>
              <w:t xml:space="preserve"> Федерального закона от 7 августа 2001 года N 115-</w:t>
            </w:r>
            <w:r>
              <w:rPr>
                <w:rFonts w:ascii="Times New Roman" w:hAnsi="Times New Roman"/>
                <w:sz w:val="24"/>
              </w:rPr>
              <w:lastRenderedPageBreak/>
              <w:t>ФЗ "О противодействии легализации (отмыванию) доходов, полученных преступным путем, и финансированию терроризма". Ограничения, установленные настоящим пунктом, не распространяются на собственников объектов недвижимости, не являющихся самовольными постройками и расположенных на относящихся к государственной или муниципальной собственности земельных участках, при приобретении указанными собственниками этих земельных участков.</w:t>
            </w:r>
          </w:p>
          <w:p w:rsidR="002B2DDF" w:rsidRDefault="00FF5161">
            <w:pPr>
              <w:pStyle w:val="ConsPlusNormal"/>
              <w:ind w:firstLine="540"/>
              <w:jc w:val="both"/>
              <w:rPr>
                <w:rFonts w:ascii="Times New Roman" w:hAnsi="Times New Roman"/>
                <w:sz w:val="24"/>
              </w:rPr>
            </w:pPr>
            <w:r>
              <w:rPr>
                <w:rFonts w:ascii="Times New Roman" w:hAnsi="Times New Roman"/>
                <w:sz w:val="24"/>
              </w:rPr>
              <w:t>Установленные федеральными законами ограничения участия в гражданских отношениях отдельных категорий физических и юридических лиц в целях защиты основ конституционного строя, нравственности, здоровья, прав и законных интересов других лиц, обеспечения обороноспособности и безопасности государства обязательны при приватизации государственного и муниципального имущества.</w:t>
            </w:r>
          </w:p>
          <w:p w:rsidR="002B2DDF" w:rsidRDefault="00FF5161">
            <w:pPr>
              <w:pStyle w:val="ConsPlusNormal"/>
              <w:ind w:firstLine="540"/>
              <w:jc w:val="both"/>
              <w:rPr>
                <w:rFonts w:ascii="Times New Roman" w:hAnsi="Times New Roman"/>
                <w:sz w:val="24"/>
              </w:rPr>
            </w:pPr>
            <w:r>
              <w:rPr>
                <w:rFonts w:ascii="Times New Roman" w:hAnsi="Times New Roman"/>
                <w:sz w:val="24"/>
              </w:rPr>
              <w:t>Акционерные общества, общества с ограниченной ответственностью не могут являться покупателями своих акций, своих долей в уставных капиталах, приватизируемых в соответствии с настоящим Федеральным законом.</w:t>
            </w:r>
          </w:p>
          <w:p w:rsidR="002B2DDF" w:rsidRDefault="00FF5161">
            <w:pPr>
              <w:pStyle w:val="ConsPlusNormal"/>
              <w:ind w:firstLine="540"/>
              <w:jc w:val="both"/>
              <w:rPr>
                <w:rFonts w:ascii="Times New Roman" w:hAnsi="Times New Roman"/>
                <w:sz w:val="24"/>
              </w:rPr>
            </w:pPr>
            <w:r>
              <w:rPr>
                <w:rFonts w:ascii="Times New Roman" w:hAnsi="Times New Roman"/>
                <w:sz w:val="24"/>
              </w:rPr>
              <w:t>В случае, если впоследствии будет установлено, что покупатель государственного или муниципального имущества не имел законное право на его приобретение, соответствующая сделка является ничтожной.</w:t>
            </w:r>
          </w:p>
          <w:p w:rsidR="002B2DDF" w:rsidRDefault="00FF5161">
            <w:pPr>
              <w:pStyle w:val="af0"/>
              <w:ind w:firstLine="0"/>
              <w:rPr>
                <w:b/>
                <w:sz w:val="24"/>
              </w:rPr>
            </w:pPr>
            <w:r>
              <w:rPr>
                <w:b/>
                <w:sz w:val="24"/>
              </w:rPr>
              <w:t>Сведения обо всех предыдущих торгах по продаже такого имущества, объявленных в течение года, предшествующего его продаже, и об итогах торгов по продаже такого имущества.</w:t>
            </w:r>
          </w:p>
          <w:p w:rsidR="002B2DDF" w:rsidRDefault="00FF5161">
            <w:pPr>
              <w:jc w:val="both"/>
            </w:pPr>
            <w:r>
              <w:t xml:space="preserve">       </w:t>
            </w:r>
            <w:r w:rsidR="00A249D1">
              <w:t>20.01.2025г.</w:t>
            </w:r>
            <w:r>
              <w:t xml:space="preserve"> аукцион по продаже вышеуказанного имущества был признан не состоявшимся, в виду отсутствия поданных заявок.</w:t>
            </w:r>
          </w:p>
          <w:p w:rsidR="002B2DDF" w:rsidRDefault="002B2DDF">
            <w:pPr>
              <w:pStyle w:val="af0"/>
              <w:ind w:firstLine="567"/>
              <w:rPr>
                <w:sz w:val="24"/>
              </w:rPr>
            </w:pPr>
          </w:p>
          <w:p w:rsidR="002B2DDF" w:rsidRDefault="002B2DDF">
            <w:pPr>
              <w:pStyle w:val="af0"/>
              <w:ind w:firstLine="567"/>
              <w:rPr>
                <w:sz w:val="24"/>
              </w:rPr>
            </w:pPr>
          </w:p>
          <w:p w:rsidR="002B2DDF" w:rsidRDefault="002B2DDF">
            <w:pPr>
              <w:pStyle w:val="af0"/>
              <w:ind w:firstLine="567"/>
              <w:rPr>
                <w:sz w:val="24"/>
              </w:rPr>
            </w:pPr>
          </w:p>
          <w:p w:rsidR="002B2DDF" w:rsidRDefault="002B2DDF">
            <w:pPr>
              <w:pStyle w:val="af0"/>
              <w:ind w:firstLine="567"/>
              <w:rPr>
                <w:sz w:val="24"/>
              </w:rPr>
            </w:pPr>
          </w:p>
          <w:p w:rsidR="002B2DDF" w:rsidRDefault="002B2DDF">
            <w:pPr>
              <w:pStyle w:val="af0"/>
              <w:ind w:firstLine="567"/>
              <w:rPr>
                <w:sz w:val="24"/>
              </w:rPr>
            </w:pPr>
          </w:p>
          <w:p w:rsidR="002B2DDF" w:rsidRDefault="002B2DDF">
            <w:pPr>
              <w:pStyle w:val="af0"/>
              <w:ind w:firstLine="567"/>
              <w:rPr>
                <w:sz w:val="24"/>
              </w:rPr>
            </w:pPr>
          </w:p>
          <w:p w:rsidR="002B2DDF" w:rsidRDefault="002B2DDF">
            <w:pPr>
              <w:pStyle w:val="af0"/>
              <w:ind w:firstLine="567"/>
              <w:rPr>
                <w:sz w:val="24"/>
              </w:rPr>
            </w:pPr>
          </w:p>
          <w:p w:rsidR="002B2DDF" w:rsidRDefault="002B2DDF"/>
        </w:tc>
      </w:tr>
      <w:tr w:rsidR="002B2DDF" w:rsidTr="00382C84">
        <w:tc>
          <w:tcPr>
            <w:tcW w:w="10666" w:type="dxa"/>
          </w:tcPr>
          <w:p w:rsidR="002B2DDF" w:rsidRDefault="002B2DDF">
            <w:pPr>
              <w:tabs>
                <w:tab w:val="left" w:pos="3270"/>
              </w:tabs>
              <w:jc w:val="center"/>
              <w:rPr>
                <w:b/>
              </w:rPr>
            </w:pPr>
          </w:p>
        </w:tc>
      </w:tr>
    </w:tbl>
    <w:p w:rsidR="002B2DDF" w:rsidRDefault="002B2DDF"/>
    <w:p w:rsidR="002B2DDF" w:rsidRDefault="002B2DDF"/>
    <w:sectPr w:rsidR="002B2DDF">
      <w:pgSz w:w="11906" w:h="16838"/>
      <w:pgMar w:top="426" w:right="567" w:bottom="568" w:left="851" w:header="709" w:footer="709"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XO Thames">
    <w:altName w:val="Times New Roman"/>
    <w:panose1 w:val="00000000000000000000"/>
    <w:charset w:val="00"/>
    <w:family w:val="roman"/>
    <w:notTrueType/>
    <w:pitch w:val="default"/>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CYR">
    <w:panose1 w:val="020B0604020202020204"/>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PT Astra Serif">
    <w:altName w:val="Times New Roman"/>
    <w:panose1 w:val="00000000000000000000"/>
    <w:charset w:val="00"/>
    <w:family w:val="roman"/>
    <w:notTrueType/>
    <w:pitch w:val="default"/>
  </w:font>
  <w:font w:name="TimesNewRoman,Bold">
    <w:altName w:val="Times New Roman"/>
    <w:panose1 w:val="00000000000000000000"/>
    <w:charset w:val="00"/>
    <w:family w:val="roman"/>
    <w:notTrueType/>
    <w:pitch w:val="default"/>
  </w:font>
  <w:font w:name="TimesNewRoman">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FEC45C2"/>
    <w:multiLevelType w:val="multilevel"/>
    <w:tmpl w:val="BB345B0A"/>
    <w:lvl w:ilvl="0">
      <w:start w:val="1"/>
      <w:numFmt w:val="decimal"/>
      <w:lvlText w:val="%1)"/>
      <w:lvlJc w:val="left"/>
      <w:rPr>
        <w:rFonts w:ascii="Times New Roman" w:hAnsi="Times New Roman"/>
        <w:sz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DDF"/>
    <w:rsid w:val="00080D8F"/>
    <w:rsid w:val="002B2DDF"/>
    <w:rsid w:val="00382C84"/>
    <w:rsid w:val="00502AFB"/>
    <w:rsid w:val="00941509"/>
    <w:rsid w:val="00A249D1"/>
    <w:rsid w:val="00D72DF4"/>
    <w:rsid w:val="00EA00C2"/>
    <w:rsid w:val="00FF51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01D504"/>
  <w15:docId w15:val="{4D656AF5-DEDA-4CAF-8D51-B8CD924F7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color w:val="000000"/>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
    <w:qFormat/>
    <w:rPr>
      <w:sz w:val="24"/>
    </w:rPr>
  </w:style>
  <w:style w:type="paragraph" w:styleId="10">
    <w:name w:val="heading 1"/>
    <w:next w:val="a"/>
    <w:link w:val="11"/>
    <w:uiPriority w:val="9"/>
    <w:qFormat/>
    <w:pPr>
      <w:spacing w:before="120" w:after="120"/>
      <w:jc w:val="both"/>
      <w:outlineLvl w:val="0"/>
    </w:pPr>
    <w:rPr>
      <w:rFonts w:ascii="XO Thames" w:hAnsi="XO Thames"/>
      <w:b/>
      <w:sz w:val="32"/>
    </w:rPr>
  </w:style>
  <w:style w:type="paragraph" w:styleId="2">
    <w:name w:val="heading 2"/>
    <w:basedOn w:val="a"/>
    <w:next w:val="a"/>
    <w:link w:val="20"/>
    <w:uiPriority w:val="9"/>
    <w:qFormat/>
    <w:pPr>
      <w:keepNext/>
      <w:jc w:val="center"/>
      <w:outlineLvl w:val="1"/>
    </w:pPr>
  </w:style>
  <w:style w:type="paragraph" w:styleId="3">
    <w:name w:val="heading 3"/>
    <w:basedOn w:val="a"/>
    <w:next w:val="a"/>
    <w:link w:val="30"/>
    <w:uiPriority w:val="9"/>
    <w:qFormat/>
    <w:pPr>
      <w:keepNext/>
      <w:jc w:val="center"/>
      <w:outlineLvl w:val="2"/>
    </w:pPr>
    <w:rPr>
      <w:b/>
      <w:sz w:val="28"/>
    </w:rPr>
  </w:style>
  <w:style w:type="paragraph" w:styleId="4">
    <w:name w:val="heading 4"/>
    <w:basedOn w:val="a"/>
    <w:next w:val="a"/>
    <w:link w:val="40"/>
    <w:uiPriority w:val="9"/>
    <w:qFormat/>
    <w:pPr>
      <w:keepNext/>
      <w:spacing w:before="240" w:after="60"/>
      <w:outlineLvl w:val="3"/>
    </w:pPr>
    <w:rPr>
      <w:rFonts w:ascii="Calibri" w:hAnsi="Calibri"/>
      <w:b/>
      <w:sz w:val="28"/>
    </w:rPr>
  </w:style>
  <w:style w:type="paragraph" w:styleId="5">
    <w:name w:val="heading 5"/>
    <w:next w:val="a"/>
    <w:link w:val="50"/>
    <w:uiPriority w:val="9"/>
    <w:qFormat/>
    <w:pPr>
      <w:spacing w:before="120" w:after="120"/>
      <w:jc w:val="both"/>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sz w:val="24"/>
    </w:rPr>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customStyle="1" w:styleId="12">
    <w:name w:val="Номер страницы1"/>
    <w:link w:val="a3"/>
  </w:style>
  <w:style w:type="character" w:styleId="a3">
    <w:name w:val="page number"/>
    <w:link w:val="12"/>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Endnote">
    <w:name w:val="Endnote"/>
    <w:link w:val="Endnote0"/>
    <w:pPr>
      <w:ind w:firstLine="851"/>
      <w:jc w:val="both"/>
    </w:pPr>
    <w:rPr>
      <w:rFonts w:ascii="XO Thames" w:hAnsi="XO Thames"/>
      <w:sz w:val="22"/>
    </w:rPr>
  </w:style>
  <w:style w:type="character" w:customStyle="1" w:styleId="Endnote0">
    <w:name w:val="Endnote"/>
    <w:link w:val="Endnote"/>
    <w:rPr>
      <w:rFonts w:ascii="XO Thames" w:hAnsi="XO Thames"/>
      <w:sz w:val="22"/>
    </w:rPr>
  </w:style>
  <w:style w:type="character" w:customStyle="1" w:styleId="30">
    <w:name w:val="Заголовок 3 Знак"/>
    <w:basedOn w:val="1"/>
    <w:link w:val="3"/>
    <w:rPr>
      <w:b/>
      <w:sz w:val="28"/>
    </w:rPr>
  </w:style>
  <w:style w:type="paragraph" w:styleId="a4">
    <w:name w:val="Balloon Text"/>
    <w:basedOn w:val="a"/>
    <w:link w:val="a5"/>
    <w:rPr>
      <w:rFonts w:ascii="Tahoma" w:hAnsi="Tahoma"/>
      <w:sz w:val="16"/>
    </w:rPr>
  </w:style>
  <w:style w:type="character" w:customStyle="1" w:styleId="a5">
    <w:name w:val="Текст выноски Знак"/>
    <w:basedOn w:val="1"/>
    <w:link w:val="a4"/>
    <w:rPr>
      <w:rFonts w:ascii="Tahoma" w:hAnsi="Tahoma"/>
      <w:sz w:val="16"/>
    </w:rPr>
  </w:style>
  <w:style w:type="paragraph" w:styleId="a6">
    <w:name w:val="Plain Text"/>
    <w:basedOn w:val="a"/>
    <w:link w:val="a7"/>
    <w:rPr>
      <w:rFonts w:ascii="Courier New" w:hAnsi="Courier New"/>
      <w:sz w:val="20"/>
    </w:rPr>
  </w:style>
  <w:style w:type="character" w:customStyle="1" w:styleId="a7">
    <w:name w:val="Текст Знак"/>
    <w:basedOn w:val="1"/>
    <w:link w:val="a6"/>
    <w:rPr>
      <w:rFonts w:ascii="Courier New" w:hAnsi="Courier New"/>
      <w:sz w:val="20"/>
    </w:rPr>
  </w:style>
  <w:style w:type="paragraph" w:styleId="a8">
    <w:name w:val="Normal (Web)"/>
    <w:basedOn w:val="a"/>
    <w:link w:val="a9"/>
    <w:pPr>
      <w:spacing w:before="74" w:after="74"/>
      <w:ind w:left="74" w:right="74"/>
    </w:pPr>
    <w:rPr>
      <w:rFonts w:ascii="Arial CYR" w:hAnsi="Arial CYR"/>
      <w:sz w:val="30"/>
    </w:rPr>
  </w:style>
  <w:style w:type="character" w:customStyle="1" w:styleId="a9">
    <w:name w:val="Обычный (веб) Знак"/>
    <w:basedOn w:val="1"/>
    <w:link w:val="a8"/>
    <w:rPr>
      <w:rFonts w:ascii="Arial CYR" w:hAnsi="Arial CYR"/>
      <w:color w:val="000000"/>
      <w:sz w:val="30"/>
    </w:rPr>
  </w:style>
  <w:style w:type="paragraph" w:customStyle="1" w:styleId="aa">
    <w:name w:val="Знак Знак Знак Знак Знак Знак Знак Знак Знак Знак Знак Знак Знак Знак Знак Знак Знак Знак Знак"/>
    <w:basedOn w:val="a"/>
    <w:link w:val="ab"/>
    <w:pPr>
      <w:spacing w:beforeAutospacing="1" w:afterAutospacing="1"/>
    </w:pPr>
    <w:rPr>
      <w:rFonts w:ascii="Tahoma" w:hAnsi="Tahoma"/>
      <w:sz w:val="20"/>
    </w:rPr>
  </w:style>
  <w:style w:type="character" w:customStyle="1" w:styleId="ab">
    <w:name w:val="Знак Знак Знак Знак Знак Знак Знак Знак Знак Знак Знак Знак Знак Знак Знак Знак Знак Знак Знак"/>
    <w:basedOn w:val="1"/>
    <w:link w:val="aa"/>
    <w:rPr>
      <w:rFonts w:ascii="Tahoma" w:hAnsi="Tahoma"/>
      <w:sz w:val="20"/>
    </w:rPr>
  </w:style>
  <w:style w:type="paragraph" w:customStyle="1" w:styleId="Style1">
    <w:name w:val="Style1"/>
    <w:basedOn w:val="a"/>
    <w:link w:val="Style10"/>
    <w:pPr>
      <w:widowControl w:val="0"/>
    </w:pPr>
  </w:style>
  <w:style w:type="character" w:customStyle="1" w:styleId="Style10">
    <w:name w:val="Style1"/>
    <w:basedOn w:val="1"/>
    <w:link w:val="Style1"/>
    <w:rPr>
      <w:sz w:val="24"/>
    </w:rPr>
  </w:style>
  <w:style w:type="paragraph" w:customStyle="1" w:styleId="ConsPlusCell">
    <w:name w:val="ConsPlusCell"/>
    <w:link w:val="ConsPlusCell0"/>
    <w:pPr>
      <w:widowControl w:val="0"/>
    </w:pPr>
    <w:rPr>
      <w:rFonts w:ascii="Arial" w:hAnsi="Arial"/>
    </w:rPr>
  </w:style>
  <w:style w:type="character" w:customStyle="1" w:styleId="ConsPlusCell0">
    <w:name w:val="ConsPlusCell"/>
    <w:link w:val="ConsPlusCell"/>
    <w:rPr>
      <w:rFonts w:ascii="Arial" w:hAnsi="Arial"/>
    </w:rPr>
  </w:style>
  <w:style w:type="paragraph" w:styleId="ac">
    <w:name w:val="header"/>
    <w:basedOn w:val="a"/>
    <w:link w:val="ad"/>
    <w:pPr>
      <w:tabs>
        <w:tab w:val="center" w:pos="4677"/>
        <w:tab w:val="right" w:pos="9355"/>
      </w:tabs>
    </w:pPr>
  </w:style>
  <w:style w:type="character" w:customStyle="1" w:styleId="ad">
    <w:name w:val="Верхний колонтитул Знак"/>
    <w:basedOn w:val="1"/>
    <w:link w:val="ac"/>
    <w:rPr>
      <w:sz w:val="24"/>
    </w:rPr>
  </w:style>
  <w:style w:type="paragraph" w:customStyle="1" w:styleId="TextBoldCenter">
    <w:name w:val="TextBoldCenter"/>
    <w:basedOn w:val="a"/>
    <w:link w:val="TextBoldCenter0"/>
    <w:pPr>
      <w:spacing w:before="283"/>
      <w:jc w:val="center"/>
    </w:pPr>
    <w:rPr>
      <w:b/>
      <w:sz w:val="26"/>
    </w:rPr>
  </w:style>
  <w:style w:type="character" w:customStyle="1" w:styleId="TextBoldCenter0">
    <w:name w:val="TextBoldCenter"/>
    <w:basedOn w:val="1"/>
    <w:link w:val="TextBoldCenter"/>
    <w:rPr>
      <w:b/>
      <w:sz w:val="26"/>
    </w:rPr>
  </w:style>
  <w:style w:type="paragraph" w:customStyle="1" w:styleId="13">
    <w:name w:val="1"/>
    <w:basedOn w:val="a"/>
    <w:link w:val="14"/>
    <w:pPr>
      <w:spacing w:beforeAutospacing="1" w:afterAutospacing="1"/>
    </w:pPr>
    <w:rPr>
      <w:rFonts w:ascii="Tahoma" w:hAnsi="Tahoma"/>
      <w:sz w:val="20"/>
    </w:rPr>
  </w:style>
  <w:style w:type="character" w:customStyle="1" w:styleId="14">
    <w:name w:val="1"/>
    <w:basedOn w:val="1"/>
    <w:link w:val="13"/>
    <w:rPr>
      <w:rFonts w:ascii="Tahoma" w:hAnsi="Tahoma"/>
      <w:sz w:val="20"/>
    </w:rPr>
  </w:style>
  <w:style w:type="paragraph" w:styleId="23">
    <w:name w:val="Body Text 2"/>
    <w:basedOn w:val="a"/>
    <w:link w:val="24"/>
    <w:pPr>
      <w:spacing w:after="120" w:line="480" w:lineRule="auto"/>
    </w:pPr>
  </w:style>
  <w:style w:type="character" w:customStyle="1" w:styleId="24">
    <w:name w:val="Основной текст 2 Знак"/>
    <w:basedOn w:val="1"/>
    <w:link w:val="23"/>
    <w:rPr>
      <w:sz w:val="24"/>
    </w:rPr>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paragraph" w:styleId="ae">
    <w:name w:val="footer"/>
    <w:basedOn w:val="a"/>
    <w:link w:val="af"/>
    <w:pPr>
      <w:tabs>
        <w:tab w:val="center" w:pos="4677"/>
        <w:tab w:val="right" w:pos="9355"/>
      </w:tabs>
    </w:pPr>
  </w:style>
  <w:style w:type="character" w:customStyle="1" w:styleId="af">
    <w:name w:val="Нижний колонтитул Знак"/>
    <w:basedOn w:val="1"/>
    <w:link w:val="ae"/>
    <w:rPr>
      <w:sz w:val="24"/>
    </w:rPr>
  </w:style>
  <w:style w:type="paragraph" w:customStyle="1" w:styleId="s1">
    <w:name w:val="s_1"/>
    <w:basedOn w:val="a"/>
    <w:link w:val="s10"/>
    <w:pPr>
      <w:spacing w:beforeAutospacing="1" w:afterAutospacing="1"/>
    </w:pPr>
  </w:style>
  <w:style w:type="character" w:customStyle="1" w:styleId="s10">
    <w:name w:val="s_1"/>
    <w:basedOn w:val="1"/>
    <w:link w:val="s1"/>
    <w:rPr>
      <w:sz w:val="24"/>
    </w:rPr>
  </w:style>
  <w:style w:type="paragraph" w:customStyle="1" w:styleId="ConsNormal">
    <w:name w:val="ConsNormal"/>
    <w:link w:val="ConsNormal0"/>
    <w:pPr>
      <w:widowControl w:val="0"/>
      <w:ind w:right="19772" w:firstLine="720"/>
    </w:pPr>
    <w:rPr>
      <w:rFonts w:ascii="Arial" w:hAnsi="Arial"/>
    </w:rPr>
  </w:style>
  <w:style w:type="character" w:customStyle="1" w:styleId="ConsNormal0">
    <w:name w:val="ConsNormal"/>
    <w:link w:val="ConsNormal"/>
    <w:rPr>
      <w:rFonts w:ascii="Arial" w:hAnsi="Arial"/>
    </w:rPr>
  </w:style>
  <w:style w:type="character" w:customStyle="1" w:styleId="50">
    <w:name w:val="Заголовок 5 Знак"/>
    <w:link w:val="5"/>
    <w:rPr>
      <w:rFonts w:ascii="XO Thames" w:hAnsi="XO Thames"/>
      <w:b/>
      <w:sz w:val="22"/>
    </w:rPr>
  </w:style>
  <w:style w:type="paragraph" w:styleId="af0">
    <w:name w:val="Body Text Indent"/>
    <w:basedOn w:val="a"/>
    <w:link w:val="af1"/>
    <w:pPr>
      <w:widowControl w:val="0"/>
      <w:ind w:firstLine="720"/>
      <w:jc w:val="both"/>
    </w:pPr>
    <w:rPr>
      <w:sz w:val="28"/>
    </w:rPr>
  </w:style>
  <w:style w:type="character" w:customStyle="1" w:styleId="af1">
    <w:name w:val="Основной текст с отступом Знак"/>
    <w:basedOn w:val="1"/>
    <w:link w:val="af0"/>
    <w:rPr>
      <w:sz w:val="28"/>
    </w:rPr>
  </w:style>
  <w:style w:type="character" w:customStyle="1" w:styleId="11">
    <w:name w:val="Заголовок 1 Знак"/>
    <w:link w:val="10"/>
    <w:rPr>
      <w:rFonts w:ascii="XO Thames" w:hAnsi="XO Thames"/>
      <w:b/>
      <w:sz w:val="32"/>
    </w:rPr>
  </w:style>
  <w:style w:type="paragraph" w:customStyle="1" w:styleId="51">
    <w:name w:val="Знак5 Знак Знак Знак"/>
    <w:basedOn w:val="a"/>
    <w:link w:val="52"/>
    <w:pPr>
      <w:spacing w:after="160" w:line="240" w:lineRule="exact"/>
    </w:pPr>
    <w:rPr>
      <w:rFonts w:ascii="Verdana" w:hAnsi="Verdana"/>
      <w:sz w:val="20"/>
    </w:rPr>
  </w:style>
  <w:style w:type="character" w:customStyle="1" w:styleId="52">
    <w:name w:val="Знак5 Знак Знак Знак"/>
    <w:basedOn w:val="1"/>
    <w:link w:val="51"/>
    <w:rPr>
      <w:rFonts w:ascii="Verdana" w:hAnsi="Verdana"/>
      <w:sz w:val="20"/>
    </w:rPr>
  </w:style>
  <w:style w:type="paragraph" w:styleId="25">
    <w:name w:val="Body Text Indent 2"/>
    <w:basedOn w:val="a"/>
    <w:link w:val="26"/>
    <w:pPr>
      <w:widowControl w:val="0"/>
      <w:ind w:firstLine="360"/>
      <w:jc w:val="both"/>
    </w:pPr>
    <w:rPr>
      <w:sz w:val="28"/>
    </w:rPr>
  </w:style>
  <w:style w:type="character" w:customStyle="1" w:styleId="26">
    <w:name w:val="Основной текст с отступом 2 Знак"/>
    <w:basedOn w:val="1"/>
    <w:link w:val="25"/>
    <w:rPr>
      <w:sz w:val="28"/>
    </w:rPr>
  </w:style>
  <w:style w:type="paragraph" w:customStyle="1" w:styleId="15">
    <w:name w:val="Гиперссылка1"/>
    <w:link w:val="af2"/>
    <w:rPr>
      <w:color w:val="0000FF"/>
      <w:u w:val="single"/>
    </w:rPr>
  </w:style>
  <w:style w:type="character" w:styleId="af2">
    <w:name w:val="Hyperlink"/>
    <w:link w:val="15"/>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6">
    <w:name w:val="toc 1"/>
    <w:next w:val="a"/>
    <w:link w:val="17"/>
    <w:uiPriority w:val="39"/>
    <w:rPr>
      <w:rFonts w:ascii="XO Thames" w:hAnsi="XO Thames"/>
      <w:b/>
      <w:sz w:val="28"/>
    </w:rPr>
  </w:style>
  <w:style w:type="character" w:customStyle="1" w:styleId="17">
    <w:name w:val="Оглавление 1 Знак"/>
    <w:link w:val="16"/>
    <w:rPr>
      <w:rFonts w:ascii="XO Thames" w:hAnsi="XO Thames"/>
      <w:b/>
      <w:sz w:val="28"/>
    </w:rPr>
  </w:style>
  <w:style w:type="paragraph" w:customStyle="1" w:styleId="HeaderandFooter">
    <w:name w:val="Header and Footer"/>
    <w:link w:val="HeaderandFooter0"/>
    <w:pPr>
      <w:jc w:val="both"/>
    </w:pPr>
    <w:rPr>
      <w:rFonts w:ascii="XO Thames" w:hAnsi="XO Thames"/>
      <w:sz w:val="28"/>
    </w:rPr>
  </w:style>
  <w:style w:type="character" w:customStyle="1" w:styleId="HeaderandFooter0">
    <w:name w:val="Header and Footer"/>
    <w:link w:val="HeaderandFooter"/>
    <w:rPr>
      <w:rFonts w:ascii="XO Thames" w:hAnsi="XO Thames"/>
      <w:sz w:val="28"/>
    </w:rPr>
  </w:style>
  <w:style w:type="paragraph" w:customStyle="1" w:styleId="s22">
    <w:name w:val="s_22"/>
    <w:basedOn w:val="a"/>
    <w:link w:val="s220"/>
    <w:pPr>
      <w:spacing w:beforeAutospacing="1" w:afterAutospacing="1"/>
    </w:pPr>
  </w:style>
  <w:style w:type="character" w:customStyle="1" w:styleId="s220">
    <w:name w:val="s_22"/>
    <w:basedOn w:val="1"/>
    <w:link w:val="s22"/>
    <w:rPr>
      <w:sz w:val="24"/>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8">
    <w:name w:val="Основной шрифт абзаца1"/>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customStyle="1" w:styleId="ConsPlusNormal">
    <w:name w:val="ConsPlusNormal"/>
    <w:link w:val="ConsPlusNormal0"/>
    <w:pPr>
      <w:widowControl w:val="0"/>
    </w:pPr>
    <w:rPr>
      <w:rFonts w:ascii="Arial" w:hAnsi="Arial"/>
    </w:rPr>
  </w:style>
  <w:style w:type="character" w:customStyle="1" w:styleId="ConsPlusNormal0">
    <w:name w:val="ConsPlusNormal"/>
    <w:link w:val="ConsPlusNormal"/>
    <w:rPr>
      <w:rFonts w:ascii="Arial" w:hAnsi="Arial"/>
    </w:rPr>
  </w:style>
  <w:style w:type="paragraph" w:styleId="af3">
    <w:name w:val="List Paragraph"/>
    <w:basedOn w:val="a"/>
    <w:link w:val="af4"/>
    <w:pPr>
      <w:widowControl w:val="0"/>
      <w:ind w:left="720"/>
      <w:contextualSpacing/>
    </w:pPr>
    <w:rPr>
      <w:rFonts w:ascii="Arial" w:hAnsi="Arial"/>
      <w:sz w:val="20"/>
    </w:rPr>
  </w:style>
  <w:style w:type="character" w:customStyle="1" w:styleId="af4">
    <w:name w:val="Абзац списка Знак"/>
    <w:basedOn w:val="1"/>
    <w:link w:val="af3"/>
    <w:rPr>
      <w:rFonts w:ascii="Arial" w:hAnsi="Arial"/>
      <w:sz w:val="20"/>
    </w:rPr>
  </w:style>
  <w:style w:type="paragraph" w:styleId="af5">
    <w:name w:val="No Spacing"/>
    <w:link w:val="af6"/>
    <w:rPr>
      <w:rFonts w:ascii="Calibri" w:hAnsi="Calibri"/>
      <w:sz w:val="22"/>
    </w:rPr>
  </w:style>
  <w:style w:type="character" w:customStyle="1" w:styleId="19">
    <w:name w:val="Без интервала1"/>
    <w:rPr>
      <w:rFonts w:ascii="Calibri" w:hAnsi="Calibri"/>
      <w:sz w:val="22"/>
    </w:rPr>
  </w:style>
  <w:style w:type="paragraph" w:styleId="53">
    <w:name w:val="toc 5"/>
    <w:next w:val="a"/>
    <w:link w:val="54"/>
    <w:uiPriority w:val="39"/>
    <w:pPr>
      <w:ind w:left="800"/>
    </w:pPr>
    <w:rPr>
      <w:rFonts w:ascii="XO Thames" w:hAnsi="XO Thames"/>
      <w:sz w:val="28"/>
    </w:rPr>
  </w:style>
  <w:style w:type="character" w:customStyle="1" w:styleId="54">
    <w:name w:val="Оглавление 5 Знак"/>
    <w:link w:val="53"/>
    <w:rPr>
      <w:rFonts w:ascii="XO Thames" w:hAnsi="XO Thames"/>
      <w:sz w:val="28"/>
    </w:rPr>
  </w:style>
  <w:style w:type="character" w:customStyle="1" w:styleId="af6">
    <w:name w:val="Без интервала Знак"/>
    <w:link w:val="af5"/>
    <w:rPr>
      <w:rFonts w:ascii="Calibri" w:hAnsi="Calibri"/>
      <w:sz w:val="22"/>
    </w:rPr>
  </w:style>
  <w:style w:type="paragraph" w:styleId="af7">
    <w:name w:val="Body Text"/>
    <w:basedOn w:val="a"/>
    <w:link w:val="af8"/>
    <w:pPr>
      <w:jc w:val="both"/>
    </w:pPr>
    <w:rPr>
      <w:sz w:val="28"/>
    </w:rPr>
  </w:style>
  <w:style w:type="character" w:customStyle="1" w:styleId="af8">
    <w:name w:val="Основной текст Знак"/>
    <w:basedOn w:val="1"/>
    <w:link w:val="af7"/>
    <w:rPr>
      <w:sz w:val="28"/>
    </w:rPr>
  </w:style>
  <w:style w:type="paragraph" w:customStyle="1" w:styleId="1a">
    <w:name w:val="обычный_1 Знак Знак Знак Знак Знак Знак Знак Знак Знак"/>
    <w:basedOn w:val="a"/>
    <w:link w:val="1b"/>
    <w:pPr>
      <w:spacing w:beforeAutospacing="1" w:afterAutospacing="1"/>
      <w:jc w:val="both"/>
    </w:pPr>
    <w:rPr>
      <w:rFonts w:ascii="Tahoma" w:hAnsi="Tahoma"/>
      <w:sz w:val="20"/>
    </w:rPr>
  </w:style>
  <w:style w:type="character" w:customStyle="1" w:styleId="1b">
    <w:name w:val="обычный_1 Знак Знак Знак Знак Знак Знак Знак Знак Знак"/>
    <w:basedOn w:val="1"/>
    <w:link w:val="1a"/>
    <w:rPr>
      <w:rFonts w:ascii="Tahoma" w:hAnsi="Tahoma"/>
      <w:sz w:val="20"/>
    </w:rPr>
  </w:style>
  <w:style w:type="paragraph" w:styleId="af9">
    <w:name w:val="Subtitle"/>
    <w:next w:val="a"/>
    <w:link w:val="afa"/>
    <w:uiPriority w:val="11"/>
    <w:qFormat/>
    <w:pPr>
      <w:jc w:val="both"/>
    </w:pPr>
    <w:rPr>
      <w:rFonts w:ascii="XO Thames" w:hAnsi="XO Thames"/>
      <w:i/>
      <w:sz w:val="24"/>
    </w:rPr>
  </w:style>
  <w:style w:type="character" w:customStyle="1" w:styleId="afa">
    <w:name w:val="Подзаголовок Знак"/>
    <w:link w:val="af9"/>
    <w:rPr>
      <w:rFonts w:ascii="XO Thames" w:hAnsi="XO Thames"/>
      <w:i/>
      <w:sz w:val="24"/>
    </w:rPr>
  </w:style>
  <w:style w:type="paragraph" w:customStyle="1" w:styleId="Normal0">
    <w:name w:val="Normal_0"/>
    <w:link w:val="Normal00"/>
  </w:style>
  <w:style w:type="character" w:customStyle="1" w:styleId="Normal00">
    <w:name w:val="Normal_0"/>
    <w:link w:val="Normal0"/>
  </w:style>
  <w:style w:type="paragraph" w:styleId="afb">
    <w:name w:val="Title"/>
    <w:basedOn w:val="a"/>
    <w:link w:val="afc"/>
    <w:uiPriority w:val="10"/>
    <w:qFormat/>
    <w:pPr>
      <w:jc w:val="center"/>
    </w:pPr>
    <w:rPr>
      <w:sz w:val="28"/>
    </w:rPr>
  </w:style>
  <w:style w:type="character" w:customStyle="1" w:styleId="afc">
    <w:name w:val="Заголовок Знак"/>
    <w:basedOn w:val="1"/>
    <w:link w:val="afb"/>
    <w:rPr>
      <w:sz w:val="28"/>
    </w:rPr>
  </w:style>
  <w:style w:type="character" w:customStyle="1" w:styleId="40">
    <w:name w:val="Заголовок 4 Знак"/>
    <w:basedOn w:val="1"/>
    <w:link w:val="4"/>
    <w:rPr>
      <w:rFonts w:ascii="Calibri" w:hAnsi="Calibri"/>
      <w:b/>
      <w:sz w:val="28"/>
    </w:rPr>
  </w:style>
  <w:style w:type="paragraph" w:customStyle="1" w:styleId="1c">
    <w:name w:val="Просмотренная гиперссылка1"/>
    <w:link w:val="afd"/>
    <w:rPr>
      <w:color w:val="800080"/>
      <w:u w:val="single"/>
    </w:rPr>
  </w:style>
  <w:style w:type="character" w:styleId="afd">
    <w:name w:val="FollowedHyperlink"/>
    <w:link w:val="1c"/>
    <w:rPr>
      <w:color w:val="800080"/>
      <w:u w:val="single"/>
    </w:rPr>
  </w:style>
  <w:style w:type="paragraph" w:customStyle="1" w:styleId="Normal">
    <w:name w:val="[Normal]"/>
    <w:link w:val="Normal1"/>
    <w:pPr>
      <w:widowControl w:val="0"/>
    </w:pPr>
    <w:rPr>
      <w:rFonts w:ascii="Arial" w:hAnsi="Arial"/>
      <w:sz w:val="24"/>
    </w:rPr>
  </w:style>
  <w:style w:type="character" w:customStyle="1" w:styleId="Normal1">
    <w:name w:val="[Normal]"/>
    <w:link w:val="Normal"/>
    <w:rPr>
      <w:rFonts w:ascii="Arial" w:hAnsi="Arial"/>
      <w:sz w:val="24"/>
    </w:rPr>
  </w:style>
  <w:style w:type="character" w:customStyle="1" w:styleId="20">
    <w:name w:val="Заголовок 2 Знак"/>
    <w:basedOn w:val="1"/>
    <w:link w:val="2"/>
    <w:rPr>
      <w:sz w:val="24"/>
    </w:rPr>
  </w:style>
  <w:style w:type="table" w:styleId="afe">
    <w:name w:val="Table Grid"/>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2770;fld=134;dst=101017" TargetMode="External"/><Relationship Id="rId13" Type="http://schemas.openxmlformats.org/officeDocument/2006/relationships/hyperlink" Target="http://www.torgi.gov.ru" TargetMode="External"/><Relationship Id="rId18" Type="http://schemas.openxmlformats.org/officeDocument/2006/relationships/hyperlink" Target="http://www.krasnarm.ru" TargetMode="External"/><Relationship Id="rId3" Type="http://schemas.openxmlformats.org/officeDocument/2006/relationships/settings" Target="settings.xml"/><Relationship Id="rId21" Type="http://schemas.openxmlformats.org/officeDocument/2006/relationships/hyperlink" Target="http://mobileonline.garant.ru/" TargetMode="External"/><Relationship Id="rId7" Type="http://schemas.openxmlformats.org/officeDocument/2006/relationships/hyperlink" Target="http://www.krasnarm.ru" TargetMode="External"/><Relationship Id="rId12" Type="http://schemas.openxmlformats.org/officeDocument/2006/relationships/hyperlink" Target="http://utp.sberbank-ast.ru/AP/Notice/653/Requisites" TargetMode="External"/><Relationship Id="rId17" Type="http://schemas.openxmlformats.org/officeDocument/2006/relationships/hyperlink" Target="http://www.krasnarm.ru" TargetMode="External"/><Relationship Id="rId2" Type="http://schemas.openxmlformats.org/officeDocument/2006/relationships/styles" Target="styles.xml"/><Relationship Id="rId16" Type="http://schemas.openxmlformats.org/officeDocument/2006/relationships/hyperlink" Target="http://www.torgi.gov.ru" TargetMode="External"/><Relationship Id="rId20" Type="http://schemas.openxmlformats.org/officeDocument/2006/relationships/hyperlink" Target="http://mobileonline.garant.ru/" TargetMode="External"/><Relationship Id="rId1" Type="http://schemas.openxmlformats.org/officeDocument/2006/relationships/numbering" Target="numbering.xml"/><Relationship Id="rId6" Type="http://schemas.openxmlformats.org/officeDocument/2006/relationships/hyperlink" Target="http://www.torgi.gov.ru" TargetMode="External"/><Relationship Id="rId11" Type="http://schemas.openxmlformats.org/officeDocument/2006/relationships/hyperlink" Target="http://www.krasnarm.ru" TargetMode="External"/><Relationship Id="rId5" Type="http://schemas.openxmlformats.org/officeDocument/2006/relationships/hyperlink" Target="http://utp.sberbank-ast.ru/AP/Notice/1027/Instructions" TargetMode="External"/><Relationship Id="rId15" Type="http://schemas.openxmlformats.org/officeDocument/2006/relationships/hyperlink" Target="http://utp.sberbank-ast.ru" TargetMode="External"/><Relationship Id="rId23" Type="http://schemas.openxmlformats.org/officeDocument/2006/relationships/theme" Target="theme/theme1.xml"/><Relationship Id="rId10" Type="http://schemas.openxmlformats.org/officeDocument/2006/relationships/hyperlink" Target="http://www.torgi.gov.ru" TargetMode="External"/><Relationship Id="rId19" Type="http://schemas.openxmlformats.org/officeDocument/2006/relationships/hyperlink" Target="http://mobileonline.garant.ru/" TargetMode="External"/><Relationship Id="rId4" Type="http://schemas.openxmlformats.org/officeDocument/2006/relationships/webSettings" Target="webSettings.xml"/><Relationship Id="rId9" Type="http://schemas.openxmlformats.org/officeDocument/2006/relationships/hyperlink" Target="consultantplus://offline/ref=BC767E132FABCA80E5D8E89BBA81F5C773224245EE3648859B1788C14793711A0B1681896E1FFD4DrCB3Q" TargetMode="External"/><Relationship Id="rId14" Type="http://schemas.openxmlformats.org/officeDocument/2006/relationships/hyperlink" Target="http://www.krasnarm.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190</TotalTime>
  <Pages>7</Pages>
  <Words>3994</Words>
  <Characters>22772</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Иващенко Светлана Николаевна</dc:creator>
  <cp:lastModifiedBy>Иващенко Светлана Николаевна</cp:lastModifiedBy>
  <cp:revision>9</cp:revision>
  <dcterms:created xsi:type="dcterms:W3CDTF">2024-12-25T12:44:00Z</dcterms:created>
  <dcterms:modified xsi:type="dcterms:W3CDTF">2025-02-11T06:25:00Z</dcterms:modified>
</cp:coreProperties>
</file>